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Privates Reha-Gutachten</w:t>
      </w:r>
    </w:p>
    <w:p>
      <w:pPr>
        <w:jc w:val="left"/>
      </w:pPr>
      <w:r>
        <w:t>Reha-Kompetenz Nordwest</w:t>
      </w:r>
    </w:p>
    <w:p>
      <w:pPr>
        <w:jc w:val="left"/>
      </w:pPr>
      <w:r>
        <w:t>Diplom-Rehabilitationspädagoge und Hilfsmittelberater Sven Falke</w:t>
      </w:r>
    </w:p>
    <w:p>
      <w:pPr>
        <w:jc w:val="left"/>
      </w:pPr>
      <w:r>
        <w:t>Oldenburg, 18.06.2026</w:t>
      </w:r>
    </w:p>
    <w:p>
      <w:pPr>
        <w:pStyle w:val="Heading2"/>
      </w:pPr>
      <w:r>
        <w:rPr>
          <w:rFonts w:ascii="Times New Roman" w:hAnsi="Times New Roman"/>
        </w:rPr>
        <w:t>Auftrag</w:t>
      </w:r>
    </w:p>
    <w:p>
      <w:pPr>
        <w:jc w:val="left"/>
      </w:pPr>
      <w:r>
        <w:t>Heinz Körner bat um Prüfung, ob die beantragte Versorgung mit einem kompakten Elektrorollstuhl medizinisch-funktionell nachvollziehbar ist. Die Untersuchung fand am 17.06.2026 in Wohnung, Treppenhaus, Innenhof und Gehwegbereich statt. Anwesend waren Herr Körner und seine Tochter.</w:t>
      </w:r>
    </w:p>
    <w:p>
      <w:pPr>
        <w:pStyle w:val="Heading2"/>
      </w:pPr>
      <w:r>
        <w:rPr>
          <w:rFonts w:ascii="Times New Roman" w:hAnsi="Times New Roman"/>
        </w:rPr>
        <w:t>Methodik</w:t>
      </w:r>
    </w:p>
    <w:p>
      <w:pPr>
        <w:pStyle w:val="ListNumber"/>
      </w:pPr>
      <w:r>
        <w:t>Sichtung der ärztlichen Unterlagen.</w:t>
      </w:r>
    </w:p>
    <w:p>
      <w:pPr>
        <w:pStyle w:val="ListNumber"/>
      </w:pPr>
      <w:r>
        <w:t>Beobachtung Transfers Bett, Stuhl, Wohnungstür.</w:t>
      </w:r>
    </w:p>
    <w:p>
      <w:pPr>
        <w:pStyle w:val="ListNumber"/>
      </w:pPr>
      <w:r>
        <w:t>Gehprobe mit Unterarmgehstütze.</w:t>
      </w:r>
    </w:p>
    <w:p>
      <w:pPr>
        <w:pStyle w:val="ListNumber"/>
      </w:pPr>
      <w:r>
        <w:t>Gehprobe mit Rollator im Hausflur und auf Gehweg.</w:t>
      </w:r>
    </w:p>
    <w:p>
      <w:pPr>
        <w:pStyle w:val="ListNumber"/>
      </w:pPr>
      <w:r>
        <w:t>Test manueller Faltrollstuhl.</w:t>
      </w:r>
    </w:p>
    <w:p>
      <w:pPr>
        <w:pStyle w:val="ListNumber"/>
      </w:pPr>
      <w:r>
        <w:t>Test kompakter Elektrorollstuhl in Innenhof und Gehwegbereich.</w:t>
      </w:r>
    </w:p>
    <w:p>
      <w:pPr>
        <w:pStyle w:val="Heading2"/>
      </w:pPr>
      <w:r>
        <w:rPr>
          <w:rFonts w:ascii="Times New Roman" w:hAnsi="Times New Roman"/>
        </w:rPr>
        <w:t>Ergebnisse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Prüfung</w:t>
            </w:r>
          </w:p>
        </w:tc>
        <w:tc>
          <w:tcPr>
            <w:tcW w:type="dxa" w:w="4536"/>
          </w:tcPr>
          <w:p>
            <w:r>
              <w:rPr>
                <w:rFonts w:ascii="Times New Roman" w:hAnsi="Times New Roman"/>
                <w:b/>
                <w:sz w:val="20"/>
              </w:rPr>
              <w:t>Ergebnis</w:t>
            </w:r>
          </w:p>
        </w:tc>
      </w:tr>
      <w:tr>
        <w:tc>
          <w:tcPr>
            <w:tcW w:type="dxa" w:w="4536"/>
          </w:tcPr>
          <w:p>
            <w:r>
              <w:rPr>
                <w:rFonts w:ascii="Times New Roman" w:hAnsi="Times New Roman"/>
                <w:sz w:val="20"/>
              </w:rPr>
              <w:t>Unterarmgehstütze</w:t>
            </w:r>
          </w:p>
        </w:tc>
        <w:tc>
          <w:tcPr>
            <w:tcW w:type="dxa" w:w="4536"/>
          </w:tcPr>
          <w:p>
            <w:r>
              <w:rPr>
                <w:rFonts w:ascii="Times New Roman" w:hAnsi="Times New Roman"/>
                <w:sz w:val="20"/>
              </w:rPr>
              <w:t>nach 9 Metern unsicherer Stand, Abbruch wegen Schwanken</w:t>
            </w:r>
          </w:p>
        </w:tc>
      </w:tr>
      <w:tr>
        <w:tc>
          <w:tcPr>
            <w:tcW w:type="dxa" w:w="4536"/>
          </w:tcPr>
          <w:p>
            <w:r>
              <w:rPr>
                <w:rFonts w:ascii="Times New Roman" w:hAnsi="Times New Roman"/>
                <w:sz w:val="20"/>
              </w:rPr>
              <w:t>Rollator im Hausflur</w:t>
            </w:r>
          </w:p>
        </w:tc>
        <w:tc>
          <w:tcPr>
            <w:tcW w:type="dxa" w:w="4536"/>
          </w:tcPr>
          <w:p>
            <w:r>
              <w:rPr>
                <w:rFonts w:ascii="Times New Roman" w:hAnsi="Times New Roman"/>
                <w:sz w:val="20"/>
              </w:rPr>
              <w:t>19 Meter möglich, Wendung unsicher, Türschwelle kritisch</w:t>
            </w:r>
          </w:p>
        </w:tc>
      </w:tr>
      <w:tr>
        <w:tc>
          <w:tcPr>
            <w:tcW w:type="dxa" w:w="4536"/>
          </w:tcPr>
          <w:p>
            <w:r>
              <w:rPr>
                <w:rFonts w:ascii="Times New Roman" w:hAnsi="Times New Roman"/>
                <w:sz w:val="20"/>
              </w:rPr>
              <w:t>Rollator außen</w:t>
            </w:r>
          </w:p>
        </w:tc>
        <w:tc>
          <w:tcPr>
            <w:tcW w:type="dxa" w:w="4536"/>
          </w:tcPr>
          <w:p>
            <w:r>
              <w:rPr>
                <w:rFonts w:ascii="Times New Roman" w:hAnsi="Times New Roman"/>
                <w:sz w:val="20"/>
              </w:rPr>
              <w:t>nach Bordsteinversuch Abbruch, deutliche Sturzangst</w:t>
            </w:r>
          </w:p>
        </w:tc>
      </w:tr>
      <w:tr>
        <w:tc>
          <w:tcPr>
            <w:tcW w:type="dxa" w:w="4536"/>
          </w:tcPr>
          <w:p>
            <w:r>
              <w:rPr>
                <w:rFonts w:ascii="Times New Roman" w:hAnsi="Times New Roman"/>
                <w:sz w:val="20"/>
              </w:rPr>
              <w:t>Standard-Faltrollstuhl</w:t>
            </w:r>
          </w:p>
        </w:tc>
        <w:tc>
          <w:tcPr>
            <w:tcW w:type="dxa" w:w="4536"/>
          </w:tcPr>
          <w:p>
            <w:r>
              <w:rPr>
                <w:rFonts w:ascii="Times New Roman" w:hAnsi="Times New Roman"/>
                <w:sz w:val="20"/>
              </w:rPr>
              <w:t>Versicherter kann ihn nicht geradeaus selbst antreiben</w:t>
            </w:r>
          </w:p>
        </w:tc>
      </w:tr>
      <w:tr>
        <w:tc>
          <w:tcPr>
            <w:tcW w:type="dxa" w:w="4536"/>
          </w:tcPr>
          <w:p>
            <w:r>
              <w:rPr>
                <w:rFonts w:ascii="Times New Roman" w:hAnsi="Times New Roman"/>
                <w:sz w:val="20"/>
              </w:rPr>
              <w:t>Elektrorollstuhl</w:t>
            </w:r>
          </w:p>
        </w:tc>
        <w:tc>
          <w:tcPr>
            <w:tcW w:type="dxa" w:w="4536"/>
          </w:tcPr>
          <w:p>
            <w:r>
              <w:rPr>
                <w:rFonts w:ascii="Times New Roman" w:hAnsi="Times New Roman"/>
                <w:sz w:val="20"/>
              </w:rPr>
              <w:t>sichere Geradeausfahrt, kontrolliertes Bremsen, langsames Wenden möglich</w:t>
            </w:r>
          </w:p>
        </w:tc>
      </w:tr>
      <w:tr>
        <w:tc>
          <w:tcPr>
            <w:tcW w:type="dxa" w:w="4536"/>
          </w:tcPr>
          <w:p>
            <w:r>
              <w:rPr>
                <w:rFonts w:ascii="Times New Roman" w:hAnsi="Times New Roman"/>
                <w:sz w:val="20"/>
              </w:rPr>
              <w:t>Kognition und Reaktion</w:t>
            </w:r>
          </w:p>
        </w:tc>
        <w:tc>
          <w:tcPr>
            <w:tcW w:type="dxa" w:w="4536"/>
          </w:tcPr>
          <w:p>
            <w:r>
              <w:rPr>
                <w:rFonts w:ascii="Times New Roman" w:hAnsi="Times New Roman"/>
                <w:sz w:val="20"/>
              </w:rPr>
              <w:t>ausreichendes Verständnis, Bremsreaktion in Schrittgeschwindigkeit vorhanden</w:t>
            </w:r>
          </w:p>
        </w:tc>
      </w:tr>
    </w:tbl>
    <w:p>
      <w:pPr>
        <w:pStyle w:val="Heading2"/>
      </w:pPr>
      <w:r>
        <w:rPr>
          <w:rFonts w:ascii="Times New Roman" w:hAnsi="Times New Roman"/>
        </w:rPr>
        <w:t>Fachliche Bewertung</w:t>
      </w:r>
    </w:p>
    <w:p>
      <w:pPr>
        <w:jc w:val="left"/>
      </w:pPr>
      <w:r>
        <w:t>Ein Hilfsmittel ist nur dann geeignet, wenn es im konkreten Lebensumfeld nutzbar ist. Gehstock und Rollator sind für Herrn Körner keine tragfähige Nahbereichsversorgung. Sie setzen eine Reststabilität voraus, die im Alltag nicht vorhanden ist. Der Standard-Faltrollstuhl verschiebt die Mobilität auf eine Begleitperson; er stellt keine selbständige Mobilität her.</w:t>
      </w:r>
    </w:p>
    <w:p>
      <w:pPr>
        <w:jc w:val="left"/>
      </w:pPr>
      <w:r>
        <w:t>Der Elektrorollstuhl ist nicht bloß komfortabler. Er ist das erste Hilfsmittel in der Kette, das den Weg ab Hauseingang in den Nahbereich praktisch ermöglicht. Die Versorgung sollte langsam eingestellt, mit Kippschutz und Fahrtraining versehen und nach vier Wochen kontrolliert werden.</w:t>
      </w:r>
    </w:p>
    <w:p>
      <w:pPr>
        <w:pStyle w:val="Heading2"/>
      </w:pPr>
      <w:r>
        <w:rPr>
          <w:rFonts w:ascii="Times New Roman" w:hAnsi="Times New Roman"/>
        </w:rPr>
        <w:t>Abgrenzung Wirtschaftlichkeit</w:t>
      </w:r>
    </w:p>
    <w:p>
      <w:pPr>
        <w:jc w:val="left"/>
      </w:pPr>
      <w:r>
        <w:t>Das günstigere Hilfsmittel ist nicht wirtschaftlich, wenn es den Versorgungszweck nicht erfüllt. Eine Versorgung mit einem 740,00-EUR-Faltrollstuhl wäre nur scheinbar günstiger, weil Herr Körner damit ohne fremde Hilfe weiterhin nicht zum Arzt, zur Apotheke oder zum Briefkasten kommt.</w:t>
      </w:r>
    </w:p>
    <w:p>
      <w:pPr>
        <w:pStyle w:val="Heading2"/>
      </w:pPr>
      <w:r>
        <w:rPr>
          <w:rFonts w:ascii="Times New Roman" w:hAnsi="Times New Roman"/>
        </w:rPr>
        <w:t>Schlussfolgerung</w:t>
      </w:r>
    </w:p>
    <w:p>
      <w:pPr>
        <w:jc w:val="left"/>
      </w:pPr>
      <w:r>
        <w:t>Die Versorgung mit einem kompakten Elektrorollstuhl ist aus reha-fachlicher Sicht erforderlich und angemessen. Hilfsweise muss die Krankenkasse eine gleich geeignete elektrische Mobilitätslösung anbieten; ein Gehstock, Rollator oder Standard-Faltrollstuhl genügt nicht.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