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Klageerwiderung der Krankenkasse</w:t>
      </w:r>
    </w:p>
    <w:p>
      <w:pPr>
        <w:jc w:val="left"/>
      </w:pPr>
      <w:r>
        <w:t>Weser-Ems Gesundheitskasse</w:t>
      </w:r>
    </w:p>
    <w:p>
      <w:pPr>
        <w:jc w:val="left"/>
      </w:pPr>
      <w:r>
        <w:t>Justitiariat und Prozessabteilung</w:t>
      </w:r>
    </w:p>
    <w:p>
      <w:pPr>
        <w:jc w:val="left"/>
      </w:pPr>
      <w:r>
        <w:t>Stau 35, 26122 Oldenburg</w:t>
      </w:r>
    </w:p>
    <w:p>
      <w:pPr>
        <w:jc w:val="left"/>
      </w:pPr>
      <w:r>
        <w:t>Aktenzeichen: HM-2026-7714-E-K</w:t>
      </w:r>
    </w:p>
    <w:p>
      <w:pPr>
        <w:jc w:val="left"/>
      </w:pPr>
      <w:r>
        <w:t>Nicht eingereicht. Interner Entwurf der Prozessabteilung vom 08.07.2026.</w:t>
      </w:r>
    </w:p>
    <w:p>
      <w:pPr>
        <w:jc w:val="left"/>
      </w:pPr>
      <w:r>
        <w:t>An das Sozialgericht Oldenburg</w:t>
      </w:r>
    </w:p>
    <w:p>
      <w:pPr>
        <w:jc w:val="left"/>
      </w:pPr>
      <w:r>
        <w:t>In dem Rechtsstreit Heinz Körner gegen Weser-Ems Gesundheitskasse</w:t>
      </w:r>
    </w:p>
    <w:p>
      <w:pPr>
        <w:pStyle w:val="Heading2"/>
      </w:pPr>
      <w:r>
        <w:rPr>
          <w:rFonts w:ascii="Times New Roman" w:hAnsi="Times New Roman"/>
        </w:rPr>
        <w:t>Antrag</w:t>
      </w:r>
    </w:p>
    <w:p>
      <w:pPr>
        <w:jc w:val="left"/>
      </w:pPr>
      <w:r>
        <w:t>Die Klage wird abgewiesen.</w:t>
      </w:r>
    </w:p>
    <w:p>
      <w:pPr>
        <w:pStyle w:val="Heading2"/>
      </w:pPr>
      <w:r>
        <w:rPr>
          <w:rFonts w:ascii="Times New Roman" w:hAnsi="Times New Roman"/>
        </w:rPr>
        <w:t>Begründung</w:t>
      </w:r>
    </w:p>
    <w:p>
      <w:pPr>
        <w:jc w:val="left"/>
      </w:pPr>
      <w:r>
        <w:t>Die angefochtenen Bescheide sind rechtmäßig. Der Kläger hat keinen Anspruch auf die begehrte Versorgung mit dem konkret beantragten Elektrorollstuhl.</w:t>
      </w:r>
    </w:p>
    <w:p>
      <w:pPr>
        <w:pStyle w:val="Heading2"/>
      </w:pPr>
      <w:r>
        <w:rPr>
          <w:rFonts w:ascii="Times New Roman" w:hAnsi="Times New Roman"/>
        </w:rPr>
        <w:t>Keine vollständige Gehunfähigkeit</w:t>
      </w:r>
    </w:p>
    <w:p>
      <w:pPr>
        <w:jc w:val="left"/>
      </w:pPr>
      <w:r>
        <w:t>Aus den Unterlagen folgt keine vollständige Aufhebung der Gehfähigkeit. Der Kläger kann nach dem Facharztbericht in der Wohnung einzelne Wege bewältigen und mit Rollator auf ebener Strecke 32 Meter zurücklegen. Damit liegt keine Situation vor, in der ausschließlich ein Elektrorollstuhl den Basisausgleich leisten kann.</w:t>
      </w:r>
    </w:p>
    <w:p>
      <w:pPr>
        <w:pStyle w:val="Heading2"/>
      </w:pPr>
      <w:r>
        <w:rPr>
          <w:rFonts w:ascii="Times New Roman" w:hAnsi="Times New Roman"/>
        </w:rPr>
        <w:t>Vorrang einfacher Hilfsmittel</w:t>
      </w:r>
    </w:p>
    <w:p>
      <w:pPr>
        <w:jc w:val="left"/>
      </w:pPr>
      <w:r>
        <w:t>Die Beklagte hat nicht jede Mobilitätsunterstützung abgelehnt. Angeboten wurde die Prüfung eines Standard-Faltrollstuhls. Zudem sind Gehstütze, Rollator, physiotherapeutisches Training und gegebenenfalls wohnumfeldverbessernde Maßnahmen vorrangig zu prüfen. Die gesetzliche Krankenversicherung schuldet keine optimale Versorgung und keine vollständige Kompensation baulicher Hindernisse.</w:t>
      </w:r>
    </w:p>
    <w:p>
      <w:pPr>
        <w:pStyle w:val="Heading2"/>
      </w:pPr>
      <w:r>
        <w:rPr>
          <w:rFonts w:ascii="Times New Roman" w:hAnsi="Times New Roman"/>
        </w:rPr>
        <w:t>Wirtschaftlichkeit</w:t>
      </w:r>
    </w:p>
    <w:p>
      <w:pPr>
        <w:jc w:val="left"/>
      </w:pPr>
      <w:r>
        <w:t>Der beantragte Elektrorollstuhl kostet 10.990,00 EUR. Ein Standard-Faltrollstuhl aus dem Vertragssortiment ist erheblich günstiger. Der Kläger begehrt eine Versorgung, die auch durch bauliche und soziale Umstände veranlasst ist. Diese Umstände liegen nicht allein im Verantwortungsbereich der Krankenversicherung.</w:t>
      </w:r>
    </w:p>
    <w:p>
      <w:pPr>
        <w:pStyle w:val="Heading2"/>
      </w:pPr>
      <w:r>
        <w:rPr>
          <w:rFonts w:ascii="Times New Roman" w:hAnsi="Times New Roman"/>
        </w:rPr>
        <w:t>Privates Gutachten</w:t>
      </w:r>
    </w:p>
    <w:p>
      <w:pPr>
        <w:jc w:val="left"/>
      </w:pPr>
      <w:r>
        <w:t>Das private Reha-Gutachten ist nicht neutral. Es wurde vom Kläger beauftragt und ersetzt keine Begutachtung durch den Medizinischen Dienst. Außerdem bestätigt es, dass der Kläger Transfers durchführen und einzelne Strecken gehen kann. Es belegt daher nicht, dass nur ein Elektrorollstuhl in Betracht kommt.</w:t>
      </w:r>
    </w:p>
    <w:p>
      <w:pPr>
        <w:pStyle w:val="Heading2"/>
      </w:pPr>
      <w:r>
        <w:rPr>
          <w:rFonts w:ascii="Times New Roman" w:hAnsi="Times New Roman"/>
        </w:rPr>
        <w:t>Fahrsicherheit</w:t>
      </w:r>
    </w:p>
    <w:p>
      <w:pPr>
        <w:jc w:val="left"/>
      </w:pPr>
      <w:r>
        <w:t>Die sichere Bedienung des Elektrorollstuhls ist nicht ausreichend geklärt. Der Kläger ist 78 Jahre alt, sturzgefährdet und herzinsuffizient. Das Rückwärtsfahren wurde im privaten Gutachten als kritisch beschrieben. Bevor eine derart kostenintensive Versorgung bewilligt wird, müsste die Fahrsicherheit belastbar festgestellt werden.</w:t>
      </w:r>
    </w:p>
    <w:p>
      <w:pPr>
        <w:pStyle w:val="Heading2"/>
      </w:pPr>
      <w:r>
        <w:rPr>
          <w:rFonts w:ascii="Times New Roman" w:hAnsi="Times New Roman"/>
        </w:rPr>
        <w:t>Hilfsweise</w:t>
      </w:r>
    </w:p>
    <w:p>
      <w:pPr>
        <w:jc w:val="left"/>
      </w:pPr>
      <w:r>
        <w:t>Falls das Gericht weiteren Ermittlungsbedarf sieht, wird angeregt, ein unabhängiges Sachverständigengutachten einzuholen und den Medizinischen Dienst um eine persönliche Untersuchung zu ersuchen. Eine Verurteilung unmittelbar zur Versorgung mit dem konkret benannten Modell ist nicht angezeigt.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