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Fristsachen, Anlagen und Prüfraster</w:t>
      </w:r>
    </w:p>
    <w:p>
      <w:pPr>
        <w:pStyle w:val="Heading2"/>
      </w:pPr>
      <w:r>
        <w:rPr>
          <w:rFonts w:ascii="Times New Roman" w:hAnsi="Times New Roman"/>
        </w:rPr>
        <w:t>Fristenblatt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gegen Ausgangsbescheid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Bescheid 10.06.2026, Widerspruch 20.06.2026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fristgerecht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gegen 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Zugang 26.06.2026, Monatsfrist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Montag, 27.07.2026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Kanzlei-Wiedervorlage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nach Mandatierung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Eilantrag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wegen Sturzgefahr und Arztwegen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03.07.2026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MD-Akte anfordern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Akteneinsicht Verwaltungsvorgang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Facharzt-Ergänzung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kurze Stellungnahme zu Hilfsmittelalternativen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10.07.2026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Anlagenverzeichnis Klägerseite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Weser-Ems Gesundheitskasse vom 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Heinz Körner vom 20.06.2026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Widerspruchsbescheid vom 24.06.2026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 und Hilfsmittelverordnung Dr. Stahlmann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Facharztbericht Dr. Radtke vom 17.05.2026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Eigenschilderung Alltag und Wege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Wohnumfeldbericht RehaTechnik Albrecht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Kostenvoranschlag RehaTechnik Albrecht vom 20.05.2026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MD-Stellungnahme vom 05.06.2026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Privates Reha-Gutachten vom 18.06.2026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 Tochter vom 27.06.2026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Fristen- und Wegematrix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Prüfraster Hilfsmittel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Klägerargument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Kassenargument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Anspruchsgrundlage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Paragraf 33 SGB V, Behinderungsausgleich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Anspruch auf optimale Versorgung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 unstreitig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Gehfähigkeit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einzelne Schritte reichen nicht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Restmobilität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Sachverständiger, Gehprobe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Rollator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Alltag unsicher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 ebener Strecke nutzbar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Wohnumfeld, Sturzprotokoll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manueller Rollstuhl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selbständig antreibbar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günstige Alternative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Schulter, Herz, Fahrversuch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Elektrorollstuhl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erster selbständiger Basisausgleich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 teuer, Fahrsicherheit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Fahrtraining, technische 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Wirtschaftlichkeit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günstigere Mittel untauglich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Kosten 10.990,00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 alternativer Hilfen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Eilbedürftigkeit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Arzt, Apotheke, Sturzgefahr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Hauptsache zumutbar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aktuelle Versorgungslücke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Arbeitsnotiz für Schriftsatz</w:t>
      </w:r>
    </w:p>
    <w:p>
      <w:pPr>
        <w:jc w:val="left"/>
      </w:pPr>
      <w:r>
        <w:t>Nicht mit Mitleid beginnen. Der Fall gewinnt über Funktion: Welche Bewegung ist noch möglich, welches Hilfsmittel kann der Kläger selbst nutzen, welche Wege gehören zum Basisausgleich, welches günstigere Mittel scheidet aus welchem konkreten Grund aus.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