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w:t>
      </w:r>
    </w:p>
    <w:p>
      <w:pPr>
        <w:jc w:val="left"/>
      </w:pPr>
      <w:r>
        <w:t>Möllenkamp &amp; Feldhaus Rechtsanwälte</w:t>
      </w:r>
    </w:p>
    <w:p>
      <w:pPr>
        <w:jc w:val="left"/>
      </w:pPr>
      <w:r>
        <w:t>Windthorststraße 16, 48143 Münster</w:t>
      </w:r>
    </w:p>
    <w:p>
      <w:pPr>
        <w:jc w:val="left"/>
      </w:pPr>
      <w:r>
        <w:t>Telefon 0251 48 20 63-0</w:t>
      </w:r>
    </w:p>
    <w:p>
      <w:pPr>
        <w:jc w:val="left"/>
      </w:pPr>
      <w:r>
        <w:t>Bearbeiter: Rechtsanwalt Dr. Jonas Möllenkamp, Fachanwalt für Sozialrecht und Fachanwalt für Medizinrecht</w:t>
      </w:r>
    </w:p>
    <w:p>
      <w:pPr>
        <w:jc w:val="left"/>
      </w:pPr>
      <w:r>
        <w:t>Aktenzeichen intern: 2026-233-LÜ/mö</w:t>
      </w:r>
    </w:p>
    <w:p>
      <w:pPr>
        <w:jc w:val="left"/>
      </w:pPr>
      <w:r>
        <w:t>Erstkontakt: 28.06.2026, telefonisch durch die Ehefrau; Besprechungstermin am 29.06.2026 in der Wohnung des Mandanten</w:t>
      </w:r>
    </w:p>
    <w:p>
      <w:pPr>
        <w:pStyle w:val="Heading2"/>
      </w:pPr>
      <w:r>
        <w:rPr>
          <w:rFonts w:ascii="Times New Roman" w:hAnsi="Times New Roman"/>
        </w:rPr>
        <w:t>Mandant</w:t>
      </w:r>
    </w:p>
    <w:p>
      <w:pPr>
        <w:jc w:val="left"/>
      </w:pPr>
      <w:r>
        <w:t>Gregor Lütke, geboren am 22.11.1979, gelernter Elektrotechniker, wohnhaft Zum Häpper 9, 48165 Münster-Hiltrup. Verheiratet mit Teresa Lütke, die den Kontakt hergestellt hat. Krankenversicherung: Vitalis BKK, Versichertennummer V-338-529-114. Der Mandant ist seit Mai 2026 arbeitsunfähig, hat starke Schmerzen im Becken und multiple Lungenmetastasen.</w:t>
      </w:r>
    </w:p>
    <w:p>
      <w:pPr>
        <w:pStyle w:val="Heading2"/>
      </w:pPr>
      <w:r>
        <w:rPr>
          <w:rFonts w:ascii="Times New Roman" w:hAnsi="Times New Roman"/>
        </w:rPr>
        <w:t>Medizinischer Hintergrund</w:t>
      </w:r>
    </w:p>
    <w:p>
      <w:pPr>
        <w:jc w:val="left"/>
      </w:pPr>
      <w:r>
        <w:t>Diagnose: metastasiertes alveoläres Weichteilsarkom, Erstdiagnose 2022, Operation und Strahlentherapie 2022, systemische Standardtherapien 2023 bis 2026, Progress im März 2026. Die Universitätsklinik Münster sieht keine kurative Option mehr. Behandlungsziel ist die Verlängerung des progressionsfreien Überlebens, Schmerzreduktion und der Erhalt der Selbstständigkeit.</w:t>
      </w:r>
    </w:p>
    <w:p>
      <w:pPr>
        <w:jc w:val="left"/>
      </w:pPr>
      <w:r>
        <w:t>Beantragtes Arzneimittel: Lunazimerab, monoklonaler Antikörper, zugelassen als Arzneimittel für seltene Leiden (Orphan Drug), aber nicht für die Tumorentität des Mandanten. Dosierung nach Klinikplan: drei Dosen im Abstand von sechs Wochen. Kosten je Dosis laut Apothekenkalkulation: rund 500.000 EUR zuzüglich Zubereitung und Überwachung.</w:t>
      </w:r>
    </w:p>
    <w:p>
      <w:pPr>
        <w:pStyle w:val="Heading2"/>
      </w:pPr>
      <w:r>
        <w:rPr>
          <w:rFonts w:ascii="Times New Roman" w:hAnsi="Times New Roman"/>
        </w:rPr>
        <w:t>Verfahrensstand</w:t>
      </w:r>
    </w:p>
    <w:p>
      <w:pPr>
        <w:jc w:val="left"/>
      </w:pPr>
      <w:r>
        <w:t>Antrag der Klinik vom 04.06.2026. MD-Stellungnahme vom 17.06.2026. Ablehnungsbescheid der Vitalis BKK vom 21.06.2026, Zugang am 24.06.2026; Widerspruchsfrist notiert auf den 24.07.2026. Widerspruch noch nicht eingelegt. Die Klinik reserviert einen Therapieslot für den 11.07.2026, fordert aber vorher eine belastbare Kostenklärung; der Hersteller hält die erste Dosis nur bis zum 05.07.2026 vor.</w:t>
      </w:r>
    </w:p>
    <w:p>
      <w:pPr>
        <w:pStyle w:val="Heading2"/>
      </w:pPr>
      <w:r>
        <w:rPr>
          <w:rFonts w:ascii="Times New Roman" w:hAnsi="Times New Roman"/>
        </w:rPr>
        <w:t>Erste Einschätzung für die Handakte</w:t>
      </w:r>
    </w:p>
    <w:p>
      <w:pPr>
        <w:pStyle w:val="ListNumber"/>
      </w:pPr>
      <w:r>
        <w:t>Der Mandant ist schwer krank, aber nicht unmittelbar moribund; die Eilbedürftigkeit muss über das konkrete Therapiefenster und den drohenden Verlust der Behandlungschance begründet werden.</w:t>
      </w:r>
    </w:p>
    <w:p>
      <w:pPr>
        <w:pStyle w:val="ListNumber"/>
      </w:pPr>
      <w:r>
        <w:t>Die Kosten sind außergewöhnlich hoch; das Wirtschaftlichkeitsargument der Kasse ist ernst zu nehmen und nur über die fehlende Alternative zu entkräften.</w:t>
      </w:r>
    </w:p>
    <w:p>
      <w:pPr>
        <w:pStyle w:val="ListNumber"/>
      </w:pPr>
      <w:r>
        <w:t>Die Nutzenlage ist nicht leer, aber unsicher (Phase-II-Daten, Registerdaten, molekulare Zielstruktur LZ-4); keine randomisierte Phase-III-Studie.</w:t>
      </w:r>
    </w:p>
    <w:p>
      <w:pPr>
        <w:pStyle w:val="ListNumber"/>
      </w:pPr>
      <w:r>
        <w:t>Der MD stellt auf fehlende vergleichende Evidenz ab und hat den Mandanten nicht untersucht.</w:t>
      </w:r>
    </w:p>
    <w:p>
      <w:pPr>
        <w:pStyle w:val="ListNumber"/>
      </w:pPr>
      <w:r>
        <w:t>Das Gericht wird im Eilverfahren medizinische Plausibilität und Folgenabwägung verbinden müssen; ein gestuftes Vorgehen (erste Dosis mit Monitoring) als Vergleichslinie vorbereiten.</w:t>
      </w:r>
    </w:p>
    <w:p>
      <w:pPr>
        <w:pStyle w:val="Heading2"/>
      </w:pPr>
      <w:r>
        <w:rPr>
          <w:rFonts w:ascii="Times New Roman" w:hAnsi="Times New Roman"/>
        </w:rPr>
        <w:t>Auftrag</w:t>
      </w:r>
    </w:p>
    <w:p>
      <w:pPr>
        <w:pStyle w:val="ListNumber"/>
      </w:pPr>
      <w:r>
        <w:t>Widerspruch sofort einlegen.</w:t>
      </w:r>
    </w:p>
    <w:p>
      <w:pPr>
        <w:pStyle w:val="ListNumber"/>
      </w:pPr>
      <w:r>
        <w:t>Eilantrag zum Sozialgericht vorbereiten.</w:t>
      </w:r>
    </w:p>
    <w:p>
      <w:pPr>
        <w:pStyle w:val="ListNumber"/>
      </w:pPr>
      <w:r>
        <w:t>Ärztliche Zusatzstellungnahme zu lebensbedrohlicher Erkrankung, fehlender Alternative und Nutzenwahrscheinlichkeit anfordern.</w:t>
      </w:r>
    </w:p>
    <w:p>
      <w:pPr>
        <w:pStyle w:val="ListNumber"/>
      </w:pPr>
      <w:r>
        <w:t>Die Kassenargumente Evidenz, Wirtschaftlichkeit und fehlende G-BA-Bewertung gezielt bearbeiten.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