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Tumorboard und Nutzenblatt</w:t>
      </w:r>
    </w:p>
    <w:p>
      <w:pPr>
        <w:jc w:val="left"/>
      </w:pPr>
      <w:r>
        <w:t>Universitätsklinikum Münster, Sarkomzentrum</w:t>
      </w:r>
    </w:p>
    <w:p>
      <w:pPr>
        <w:jc w:val="left"/>
      </w:pPr>
      <w:r>
        <w:t>Auszug aus der Behandlungsdokumentation, der Kanzlei übergeben am 29.06.2026</w:t>
      </w:r>
    </w:p>
    <w:p>
      <w:pPr>
        <w:pStyle w:val="Heading2"/>
      </w:pPr>
      <w:r>
        <w:rPr>
          <w:rFonts w:ascii="Times New Roman" w:hAnsi="Times New Roman"/>
        </w:rPr>
        <w:t>Protokoll Sarkom-Tumorboard vom 29.05.2026</w:t>
      </w:r>
    </w:p>
    <w:p>
      <w:pPr>
        <w:jc w:val="left"/>
      </w:pPr>
      <w:r>
        <w:t>Vorsitz: Prof. Dr. Ebbinghaus. Anwesend: Onkologie, Radiologie, Pathologie, Strahlentherapie, Palliativmedizin, Studienkoordination, Psychoonkologie.</w:t>
      </w:r>
    </w:p>
    <w:p>
      <w:pPr>
        <w:jc w:val="left"/>
      </w:pPr>
      <w:r>
        <w:t>Fall: Gregor Lütke, 46 Jahre, metastasiertes alveoläres Weichteilsarkom. ECOG 1 bis 2, hohe Motivation, familiär eingebunden. Bildgebung vom 24.05.2026 zeigt Progress der pulmonalen Herde und neue osteolytische Läsion im rechten Os ilium. Schmerzen aktuell mit Oxycodon retard 2 mal 20 mg kontrolliert.</w:t>
      </w:r>
    </w:p>
    <w:p>
      <w:pPr>
        <w:pStyle w:val="Heading2"/>
      </w:pPr>
      <w:r>
        <w:rPr>
          <w:rFonts w:ascii="Times New Roman" w:hAnsi="Times New Roman"/>
        </w:rPr>
        <w:t>Diskutierte Optionen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Option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Nutzen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Einwand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Best Supportive Care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Symptomkontrolle, geringe Toxizität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Krankheitskontrolle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Re-Challenge Standardtherapie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ambulant verfügbar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Progress unter gleicher Substanz dokumentiert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Phase-I-Studie Hamburg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wissenschaftlich interessant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Einschluss frühestens September, Reisefähigkeit fraglich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Lunazimerab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zielgerichtete Therapie, Orphan-Drug-Zulassung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extrem hohe Kosten, begrenzte Daten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>Das Tumorboard empfiehlt Lunazimerab. Die Empfehlung beruht auf fehlenden Standardalternativen, Zielstruktur LZ-4, gutem Allgemeinzustand und realistischer Aussicht auf klinisch relevante Krankheitskontrolle. Palliativmedizin soll parallel eingebunden bleiben.</w:t>
      </w:r>
    </w:p>
    <w:p>
      <w:pPr>
        <w:pStyle w:val="Heading2"/>
      </w:pPr>
      <w:r>
        <w:rPr>
          <w:rFonts w:ascii="Times New Roman" w:hAnsi="Times New Roman"/>
        </w:rPr>
        <w:t>Nutzenblatt für die Kasse</w:t>
      </w:r>
    </w:p>
    <w:p>
      <w:pPr>
        <w:jc w:val="left"/>
      </w:pPr>
      <w:r>
        <w:t>Die Klinik schätzt die realistische Nutzenerwartung nicht als Heilung, sondern als Verlängerung der krankheitskontrollierten Zeit um etwa 18 bis 24 Monate bei Ansprechen. Die Aussage beruht auf der Studie LUNA-SAR-02 (einarmige Phase-II-Studie, 41 Patienten, davon 12 mit hoher LZ-4-Expression), Registerdaten aus Frankreich und dem molekularen Befund des Patienten. Die Klinik räumt ein, dass es keine randomisierte Phase-III-Studie gibt und nach der Seltenheit der Erkrankung voraussichtlich auch nicht geben wird.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