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Gerichtliche Beweisfragen und Vergleichsfenster</w:t>
      </w:r>
    </w:p>
    <w:p>
      <w:pPr>
        <w:jc w:val="left"/>
      </w:pPr>
      <w:r>
        <w:t>Arbeitspapier der Kanzlei, Az. 2026-233-LÜ/mö, Stand 30.06.2026: Antizipation des zu erwartenden gerichtlichen Vorgehens im Eilverfahren, zur Vorbereitung der Klinik-Stellungnahme und einer Vergleichslinie.</w:t>
      </w:r>
    </w:p>
    <w:p>
      <w:pPr>
        <w:pStyle w:val="Heading2"/>
      </w:pPr>
      <w:r>
        <w:rPr>
          <w:rFonts w:ascii="Times New Roman" w:hAnsi="Times New Roman"/>
        </w:rPr>
        <w:t>Zu erwartender richterlicher Hinweis</w:t>
      </w:r>
    </w:p>
    <w:p>
      <w:pPr>
        <w:jc w:val="left"/>
      </w:pPr>
      <w:r>
        <w:t>Das Gericht beabsichtigt, kurzfristig eine ergänzende Stellungnahme der Universitätsklinik Münster einzuholen. Die Beteiligten werden darauf hingewiesen, dass im Verfahren des einstweiligen Rechtsschutzes nicht die vollständige Hauptsache vorweggenommen werden soll, jedoch der drohende Verlust einer realistischen Behandlungschance zu berücksichtigen sein kann.</w:t>
      </w:r>
    </w:p>
    <w:p>
      <w:pPr>
        <w:pStyle w:val="Heading2"/>
      </w:pPr>
      <w:r>
        <w:rPr>
          <w:rFonts w:ascii="Times New Roman" w:hAnsi="Times New Roman"/>
        </w:rPr>
        <w:t>Beweisfragen an die Klinik</w:t>
      </w:r>
    </w:p>
    <w:p>
      <w:pPr>
        <w:pStyle w:val="ListNumber"/>
      </w:pPr>
      <w:r>
        <w:t>Welche Standardtherapien sind beim Antragsteller ausgeschöpft und aus welchem Grund?</w:t>
      </w:r>
    </w:p>
    <w:p>
      <w:pPr>
        <w:pStyle w:val="ListNumber"/>
      </w:pPr>
      <w:r>
        <w:t>Welche konkrete Zielstruktur begründet die Auswahl von Lunazimerab?</w:t>
      </w:r>
    </w:p>
    <w:p>
      <w:pPr>
        <w:pStyle w:val="ListNumber"/>
      </w:pPr>
      <w:r>
        <w:t>Welche Daten tragen die Erwartung einer klinisch relevanten Krankheitskontrolle?</w:t>
      </w:r>
    </w:p>
    <w:p>
      <w:pPr>
        <w:pStyle w:val="ListNumber"/>
      </w:pPr>
      <w:r>
        <w:t>Welche Folgen hat eine Verzögerung des Therapiebeginns um vier, acht oder zwölf Wochen?</w:t>
      </w:r>
    </w:p>
    <w:p>
      <w:pPr>
        <w:pStyle w:val="ListNumber"/>
      </w:pPr>
      <w:r>
        <w:t>Welche objektiven Abbruchkriterien können nach der ersten oder zweiten Dosis festgelegt werden?</w:t>
      </w:r>
    </w:p>
    <w:p>
      <w:pPr>
        <w:pStyle w:val="Heading2"/>
      </w:pPr>
      <w:r>
        <w:rPr>
          <w:rFonts w:ascii="Times New Roman" w:hAnsi="Times New Roman"/>
        </w:rPr>
        <w:t>Vergleichsfenster</w:t>
      </w:r>
    </w:p>
    <w:p>
      <w:pPr>
        <w:jc w:val="left"/>
      </w:pPr>
      <w:r>
        <w:t>Eine Vergleichslösung könnte eine erste Dosis mit engmaschigem Monitoring und erneuter Entscheidung über Dosis zwei und drei vorsehen. Die Kasse würde damit keine unbefristete Kostenzusage erteilen, der Versicherte verlöre aber nicht das aktuelle Behandlungsfenster. Streitpunkt bleibt, ob eine solche Aufteilung medizinisch sinnvoll und rechtlich zulässig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