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und Fristsache</w:t>
      </w:r>
    </w:p>
    <w:p>
      <w:pPr>
        <w:jc w:val="left"/>
      </w:pPr>
      <w:r>
        <w:t>Kanzlei Terwiel &amp; Brandhove Rechtsanwältinnen und Rechtsanwälte PartG mbB</w:t>
      </w:r>
    </w:p>
    <w:p>
      <w:pPr>
        <w:jc w:val="left"/>
      </w:pPr>
      <w:r>
        <w:t>Salzstraße 21, 48143 Münster</w:t>
      </w:r>
    </w:p>
    <w:p>
      <w:pPr>
        <w:jc w:val="left"/>
      </w:pPr>
      <w:r>
        <w:t>Telefon 0251 41 88 02-0, Telefax 0251 41 88 02-29</w:t>
      </w:r>
    </w:p>
    <w:p>
      <w:pPr>
        <w:jc w:val="left"/>
      </w:pPr>
      <w:r>
        <w:t>Bearbeiterin: Rechtsanwältin Dr. Sabine Terwiel, Fachanwältin für Sozialrecht</w:t>
      </w:r>
    </w:p>
    <w:p>
      <w:pPr>
        <w:jc w:val="left"/>
      </w:pPr>
      <w:r>
        <w:t>Aktenzeichen intern: 2026-0412-SB/te</w:t>
      </w:r>
    </w:p>
    <w:p>
      <w:pPr>
        <w:jc w:val="left"/>
      </w:pPr>
      <w:r>
        <w:t>Erstgespräch: 01.07.2026, 14:30 Uhr, anwesend die Mandantin</w:t>
      </w:r>
    </w:p>
    <w:p>
      <w:pPr>
        <w:pStyle w:val="Heading2"/>
      </w:pPr>
      <w:r>
        <w:rPr>
          <w:rFonts w:ascii="Times New Roman" w:hAnsi="Times New Roman"/>
        </w:rPr>
        <w:t>Mandantin</w:t>
      </w:r>
    </w:p>
    <w:p>
      <w:pPr>
        <w:jc w:val="left"/>
      </w:pPr>
      <w:r>
        <w:t>Helga Bertram, geboren am 22.05.1964, wohnhaft Zum Roten Berge 14, 48165 Münster-Hiltrup. Verheiratet, zwei erwachsene Kinder. Beschäftigt als Küchenhilfe bei der Schulverpflegung Westfalen gGmbH, Einsatzort Schulzentrum Hiltrup, 24 Wochenstunden. Bekannter GdB 30 seit Bescheid vom 09.11.2021 wegen Diabetes mellitus mit Polyneuropathie und Wirbelsäulenbeschwerden.</w:t>
      </w:r>
    </w:p>
    <w:p>
      <w:pPr>
        <w:pStyle w:val="Heading2"/>
      </w:pPr>
      <w:r>
        <w:rPr>
          <w:rFonts w:ascii="Times New Roman" w:hAnsi="Times New Roman"/>
        </w:rPr>
        <w:t>Verfahrensstand und Frist</w:t>
      </w:r>
    </w:p>
    <w:p>
      <w:pPr>
        <w:jc w:val="left"/>
      </w:pPr>
      <w:r>
        <w:t>Erhöhungsantrag (Neufeststellung nach § 152 SGB IX) vom 04.03.2026, zugleich Antrag auf Merkzeichen G. Bescheid der Stadt Münster, Amt für Soziales und Wohnen, vom 21.06.2026, Geschäftszeichen 50.33-SB-2021-004718: GdB weiterhin 30, Merkzeichen G abgelehnt. Zugang nach Angabe der Mandantin am 25.06.2026, der Briefumschlag liegt in der Handakte.</w:t>
      </w:r>
    </w:p>
    <w:p>
      <w:pPr>
        <w:jc w:val="left"/>
      </w:pPr>
      <w:r>
        <w:t>Die Mandantin hat sich als Fristende den 25.07.2026 notiert. Das ist ein Samstag; das Fristende fällt damit auf Montag, den 27.07.2026. Eingetragen im Fristenkalender mit Vorfrist 13.07.2026.</w:t>
      </w:r>
    </w:p>
    <w:p>
      <w:pPr>
        <w:pStyle w:val="Heading2"/>
      </w:pPr>
      <w:r>
        <w:rPr>
          <w:rFonts w:ascii="Times New Roman" w:hAnsi="Times New Roman"/>
        </w:rPr>
        <w:t>Gesundheitliche Entwicklung seit 2021</w:t>
      </w:r>
    </w:p>
    <w:p>
      <w:pPr>
        <w:jc w:val="left"/>
      </w:pPr>
      <w:r>
        <w:t>Nach Schilderung der Mandantin und den mitgebrachten Unterlagen: diabetische Polyneuropathie mit brennenden Fußschmerzen beidseits, seit Ende 2025 deutlich zunehmend; COPD Gold II mit Belastungsdyspnoe, Erstdiagnose 2023, dem Versorgungsamt bis zum Erhöhungsantrag nicht gemeldet; Gonarthrose rechts mit Schwellneigung; rezidivierende depressive Anpassungsstörung, hausärztlich mitbehandelt. Die Mandantin gibt an, maximal 300 bis 400 Meter am Stück gehen zu können, dann brauche sie eine Pause. Am 18.04.2026 Sturz auf dem Weg zur Bushaltestelle.</w:t>
      </w:r>
    </w:p>
    <w:p>
      <w:pPr>
        <w:jc w:val="left"/>
      </w:pPr>
      <w:r>
        <w:t>Der Hausarzt Dr. Büscher befürwortet GdB 50 und Merkzeichen G. Das Versorgungsamt stützt sich nach dem Bescheidtext im Wesentlichen auf kurze Befundantworten; aktuelle Lungenfunktionswerte lagen der Verwaltung offenbar nicht vor.</w:t>
      </w:r>
    </w:p>
    <w:p>
      <w:pPr>
        <w:pStyle w:val="Heading2"/>
      </w:pPr>
      <w:r>
        <w:rPr>
          <w:rFonts w:ascii="Times New Roman" w:hAnsi="Times New Roman"/>
        </w:rPr>
        <w:t>Auftrag und Vorgehen</w:t>
      </w:r>
    </w:p>
    <w:p>
      <w:pPr>
        <w:pStyle w:val="ListNumber"/>
      </w:pPr>
      <w:r>
        <w:t>Widerspruch fristwahrend einlegen, Begründung nach Akteneinsicht ergänzen.</w:t>
      </w:r>
    </w:p>
    <w:p>
      <w:pPr>
        <w:pStyle w:val="ListNumber"/>
      </w:pPr>
      <w:r>
        <w:t>Akteneinsicht in den Verwaltungsvorgang beantragen, insbesondere in die versorgungsärztliche Stellungnahme.</w:t>
      </w:r>
    </w:p>
    <w:p>
      <w:pPr>
        <w:pStyle w:val="ListNumber"/>
      </w:pPr>
      <w:r>
        <w:t>Befunde gezielt nachreichen: Hausarzt, Neurologie, Pneumologie, Orthopädie, Arbeitsplatz.</w:t>
      </w:r>
    </w:p>
    <w:p>
      <w:pPr>
        <w:pStyle w:val="ListNumber"/>
      </w:pPr>
      <w:r>
        <w:t>Nicht vorschnell Diagnosen addieren; entscheidend sind Funktionsbeeinträchtigungen, Teilhabefolgen, Gehfähigkeit, Schmerz, Atemnot, Arbeitsplatzbelastung und die Konsistenz der ärztlichen Angaben untereinander.</w:t>
      </w:r>
    </w:p>
    <w:p>
      <w:pPr>
        <w:pStyle w:val="ListNumber"/>
      </w:pPr>
      <w:r>
        <w:t>Perspektive besprechen: Bei einem GdB von 50 käme später die Altersrente für schwerbehinderte Menschen in Betracht; die Mandantin ist Jahrgang 1964.</w:t>
      </w:r>
    </w:p>
    <w:p>
      <w:pPr>
        <w:pStyle w:val="Heading2"/>
      </w:pPr>
      <w:r>
        <w:rPr>
          <w:rFonts w:ascii="Times New Roman" w:hAnsi="Times New Roman"/>
        </w:rPr>
        <w:t>Kostenhinweis</w:t>
      </w:r>
    </w:p>
    <w:p>
      <w:pPr>
        <w:jc w:val="left"/>
      </w:pPr>
      <w:r>
        <w:t>Beratungshilfe kommt wegen des Erwerbseinkommens beider Eheleute nicht in Betracht. Vergütungsvereinbarung für das Widerspruchsverfahren am 01.07.2026 unterzeichnet; auf die Erstattungsregelung des § 63 SGB X wurde hingewiesen. Eine Rechtsschutzversicherung besteht nicht.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