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Klagestrategie Sozialgericht</w:t>
      </w:r>
    </w:p>
    <w:p>
      <w:pPr>
        <w:jc w:val="left"/>
      </w:pPr>
      <w:r>
        <w:t>Interner Vermerk, Az. 2026-0412-SB/te, Dr. Terwiel, 16.07.2026 — nur für die Handakte</w:t>
      </w:r>
    </w:p>
    <w:p>
      <w:pPr>
        <w:pStyle w:val="Heading2"/>
      </w:pPr>
      <w:r>
        <w:rPr>
          <w:rFonts w:ascii="Times New Roman" w:hAnsi="Times New Roman"/>
        </w:rPr>
        <w:t>Ausgangslage nach Akteneinsicht</w:t>
      </w:r>
    </w:p>
    <w:p>
      <w:pPr>
        <w:jc w:val="left"/>
      </w:pPr>
      <w:r>
        <w:t>Die versorgungsärztliche Stellungnahme vom 12.06.2026 bewertet nach Aktenlage: Diabetes mit Polyneuropathie Einzel-GdB 30, Wirbelsäule 10, Kniegelenk 10, Atemwege 10, Gesamt-GdB 30. Die aktuelle Lungenfunktion vom 16.05.2026 und die Elektroneurographie vom 08.06.2026 lagen dem versorgungsärztlichen Dienst nicht vor; die Befundantwort des Hausarztes datiert vom 28.04.2026 und ist knapp gehalten. Genau hier setzt die ergänzende Widerspruchsbegründung an. Bleibt der Widerspruch dennoch erfolglos, gilt für die Klage:</w:t>
      </w:r>
    </w:p>
    <w:p>
      <w:pPr>
        <w:pStyle w:val="Heading2"/>
      </w:pPr>
      <w:r>
        <w:rPr>
          <w:rFonts w:ascii="Times New Roman" w:hAnsi="Times New Roman"/>
        </w:rPr>
        <w:t>Stoßrichtung der Klage</w:t>
      </w:r>
    </w:p>
    <w:p>
      <w:pPr>
        <w:jc w:val="left"/>
      </w:pPr>
      <w:r>
        <w:t>Die Klage muss die Teilhabewirkung konkret beschreiben, nicht die Diagnosen wiederholen. Schwerpunkt ist die Gehfähigkeit: Weg zur Arbeit, Supermarkt, Treppen, Pausenbedarf, Sechs-Minuten-Gehtest mit 298 Metern, Sturz vom 18.04.2026 und die Arbeitsplatzanpassungen (kein Kellerlager, kein Kistentragen, Sitzpausen). Für das Merkzeichen G sind die tatsächlichen Einschränkungen bei üblichen Wegen im Ortsverkehr präzise darzustellen; das Alltagsprotokoll der Mandantin liefert dafür die Einzelbeobachtungen mit Datum und Metern.</w:t>
      </w:r>
    </w:p>
    <w:p>
      <w:pPr>
        <w:jc w:val="left"/>
      </w:pPr>
      <w:r>
        <w:t>Zu erwarten ist der Einwand, die Gehtestergebnisse seien durch die Mischung aus Atemnot und Fußschmerz nicht eindeutig einer Funktionsstörung zuzuordnen. Darauf ist zu antworten, dass es für die Gesamtbewertung wie für das Merkzeichen G auf das tatsächliche Gehvermögen ankommt, gleich aus welcher der festgestellten Gesundheitsstörungen die Einschränkung gespeist wird. Der Hinweis der Neurologin, die Beeinträchtigungen verstärkten sich wechselseitig, trägt diese Argumentation.</w:t>
      </w:r>
    </w:p>
    <w:p>
      <w:pPr>
        <w:pStyle w:val="Heading2"/>
      </w:pPr>
      <w:r>
        <w:rPr>
          <w:rFonts w:ascii="Times New Roman" w:hAnsi="Times New Roman"/>
        </w:rPr>
        <w:t>Beweismittel</w:t>
      </w:r>
    </w:p>
    <w:p>
      <w:pPr>
        <w:pStyle w:val="ListNumber"/>
      </w:pPr>
      <w:r>
        <w:t>Versorgungsärztliche Stellungnahme inhaltlich angreifen: Bewertung nach Aktenlage, veraltete und unvollständige Befundgrundlage.</w:t>
      </w:r>
    </w:p>
    <w:p>
      <w:pPr>
        <w:pStyle w:val="ListNumber"/>
      </w:pPr>
      <w:r>
        <w:t>Behandelnde Ärzte (Büscher, Stern, Hachtkemper) als sachverständige Zeugen benennen.</w:t>
      </w:r>
    </w:p>
    <w:p>
      <w:pPr>
        <w:pStyle w:val="ListNumber"/>
      </w:pPr>
      <w:r>
        <w:t>Einholung eines Gutachtens nach § 106 SGG anregen, internistisch-neurologisch mit Gehstreckenprüfung; falls das Gericht zögert, Antrag nach § 109 SGG mit der Mandantin besprechen (Kostenvorschuss erläutern).</w:t>
      </w:r>
    </w:p>
    <w:p>
      <w:pPr>
        <w:pStyle w:val="ListNumber"/>
      </w:pPr>
      <w:r>
        <w:t>Arbeitgeberin (Teamleiterin Vennemann) als Zeugin für Steh- und Gehprobleme am Arbeitsplatz.</w:t>
      </w:r>
    </w:p>
    <w:p>
      <w:pPr>
        <w:pStyle w:val="Heading2"/>
      </w:pPr>
      <w:r>
        <w:rPr>
          <w:rFonts w:ascii="Times New Roman" w:hAnsi="Times New Roman"/>
        </w:rPr>
        <w:t>Parallelthema Rente</w:t>
      </w:r>
    </w:p>
    <w:p>
      <w:pPr>
        <w:jc w:val="left"/>
      </w:pPr>
      <w:r>
        <w:t>Parallel im Blick behalten: Altersrente für schwerbehinderte Menschen. Die Mandantin (Jahrgang 1964) profitiert nur, wenn der GdB 50 rechtzeitig vor dem geplanten Rentenbeginn festgestellt wird. Das spricht dagegen, das Widerspruchsverfahren durch immer neue Nachreichungen zu strecken; lieber zügig entscheiden lassen und notfalls klagen.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