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Pflegegrad und MD-Gutachten</w:t>
      </w:r>
    </w:p>
    <w:p>
      <w:pPr>
        <w:pStyle w:val="Heading2"/>
      </w:pPr>
      <w:r>
        <w:rPr>
          <w:rFonts w:ascii="Times New Roman" w:hAnsi="Times New Roman"/>
        </w:rPr>
        <w:t>Pflegegradbescheid (Auszug, aus den Unterlagen der Mandantin)</w:t>
      </w:r>
    </w:p>
    <w:p>
      <w:pPr>
        <w:jc w:val="left"/>
      </w:pPr>
      <w:r>
        <w:t>PrignitzCare Pflegekasse</w:t>
      </w:r>
    </w:p>
    <w:p>
      <w:pPr>
        <w:jc w:val="left"/>
      </w:pPr>
      <w:r>
        <w:t>Wilsnacker Straße 12, 19322 Wittenberge</w:t>
      </w:r>
    </w:p>
    <w:p>
      <w:pPr>
        <w:jc w:val="left"/>
      </w:pPr>
      <w:r>
        <w:t>Bescheid vom 18.09.2024, Versichertennummer P-604-228-771</w:t>
      </w:r>
    </w:p>
    <w:p>
      <w:pPr>
        <w:jc w:val="left"/>
      </w:pPr>
      <w:r>
        <w:t>Frau Irmgard Pahl erhält ab dem 01.09.2024 Leistungen nach Pflegegrad 3. Begründung: erhebliche Beeinträchtigung der Selbstständigkeit, insbesondere in den Modulen Mobilität, Selbstversorgung und Bewältigung von sowie selbstständiger Umgang mit krankheits- oder therapiebedingten Anforderungen und Belastungen. Grundlage ist das Gutachten des Medizinischen Dienstes vom 11.09.2024.</w:t>
      </w:r>
    </w:p>
    <w:p>
      <w:pPr>
        <w:pStyle w:val="Heading2"/>
      </w:pPr>
      <w:r>
        <w:rPr>
          <w:rFonts w:ascii="Times New Roman" w:hAnsi="Times New Roman"/>
        </w:rPr>
        <w:t>Auszug MD-Gutachten vom 11.09.2024</w:t>
      </w:r>
    </w:p>
    <w:p>
      <w:pPr>
        <w:jc w:val="left"/>
      </w:pPr>
      <w:r>
        <w:t>Medizinischer Dienst Berlin-Brandenburg, Hausbesuch am 09.09.2024, Gutachterin Petra Mielke, Pflegefachkraft</w:t>
      </w:r>
    </w:p>
    <w:p>
      <w:pPr>
        <w:jc w:val="left"/>
      </w:pPr>
      <w:r>
        <w:t>Modul Mobilität: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Kriterium</w:t>
            </w:r>
          </w:p>
        </w:tc>
        <w:tc>
          <w:tcPr>
            <w:tcW w:type="dxa" w:w="4536"/>
          </w:tcPr>
          <w:p>
            <w:r>
              <w:rPr>
                <w:rFonts w:ascii="Times New Roman" w:hAnsi="Times New Roman"/>
                <w:b/>
                <w:sz w:val="20"/>
              </w:rPr>
              <w:t>Bewertung</w:t>
            </w:r>
          </w:p>
        </w:tc>
      </w:tr>
      <w:tr>
        <w:tc>
          <w:tcPr>
            <w:tcW w:type="dxa" w:w="4536"/>
          </w:tcPr>
          <w:p>
            <w:r>
              <w:rPr>
                <w:rFonts w:ascii="Times New Roman" w:hAnsi="Times New Roman"/>
                <w:sz w:val="20"/>
              </w:rPr>
              <w:t>Positionswechsel im Bett</w:t>
            </w:r>
          </w:p>
        </w:tc>
        <w:tc>
          <w:tcPr>
            <w:tcW w:type="dxa" w:w="4536"/>
          </w:tcPr>
          <w:p>
            <w:r>
              <w:rPr>
                <w:rFonts w:ascii="Times New Roman" w:hAnsi="Times New Roman"/>
                <w:sz w:val="20"/>
              </w:rPr>
              <w:t>überwiegend selbstständig</w:t>
            </w:r>
          </w:p>
        </w:tc>
      </w:tr>
      <w:tr>
        <w:tc>
          <w:tcPr>
            <w:tcW w:type="dxa" w:w="4536"/>
          </w:tcPr>
          <w:p>
            <w:r>
              <w:rPr>
                <w:rFonts w:ascii="Times New Roman" w:hAnsi="Times New Roman"/>
                <w:sz w:val="20"/>
              </w:rPr>
              <w:t>Halten einer stabilen Sitzposition</w:t>
            </w:r>
          </w:p>
        </w:tc>
        <w:tc>
          <w:tcPr>
            <w:tcW w:type="dxa" w:w="4536"/>
          </w:tcPr>
          <w:p>
            <w:r>
              <w:rPr>
                <w:rFonts w:ascii="Times New Roman" w:hAnsi="Times New Roman"/>
                <w:sz w:val="20"/>
              </w:rPr>
              <w:t>selbstständig</w:t>
            </w:r>
          </w:p>
        </w:tc>
      </w:tr>
      <w:tr>
        <w:tc>
          <w:tcPr>
            <w:tcW w:type="dxa" w:w="4536"/>
          </w:tcPr>
          <w:p>
            <w:r>
              <w:rPr>
                <w:rFonts w:ascii="Times New Roman" w:hAnsi="Times New Roman"/>
                <w:sz w:val="20"/>
              </w:rPr>
              <w:t>Umsetzen</w:t>
            </w:r>
          </w:p>
        </w:tc>
        <w:tc>
          <w:tcPr>
            <w:tcW w:type="dxa" w:w="4536"/>
          </w:tcPr>
          <w:p>
            <w:r>
              <w:rPr>
                <w:rFonts w:ascii="Times New Roman" w:hAnsi="Times New Roman"/>
                <w:sz w:val="20"/>
              </w:rPr>
              <w:t>überwiegend selbstständig</w:t>
            </w:r>
          </w:p>
        </w:tc>
      </w:tr>
      <w:tr>
        <w:tc>
          <w:tcPr>
            <w:tcW w:type="dxa" w:w="4536"/>
          </w:tcPr>
          <w:p>
            <w:r>
              <w:rPr>
                <w:rFonts w:ascii="Times New Roman" w:hAnsi="Times New Roman"/>
                <w:sz w:val="20"/>
              </w:rPr>
              <w:t>Fortbewegen innerhalb des Wohnbereichs</w:t>
            </w:r>
          </w:p>
        </w:tc>
        <w:tc>
          <w:tcPr>
            <w:tcW w:type="dxa" w:w="4536"/>
          </w:tcPr>
          <w:p>
            <w:r>
              <w:rPr>
                <w:rFonts w:ascii="Times New Roman" w:hAnsi="Times New Roman"/>
                <w:sz w:val="20"/>
              </w:rPr>
              <w:t>überwiegend selbstständig mit Gehstock</w:t>
            </w:r>
          </w:p>
        </w:tc>
      </w:tr>
      <w:tr>
        <w:tc>
          <w:tcPr>
            <w:tcW w:type="dxa" w:w="4536"/>
          </w:tcPr>
          <w:p>
            <w:r>
              <w:rPr>
                <w:rFonts w:ascii="Times New Roman" w:hAnsi="Times New Roman"/>
                <w:sz w:val="20"/>
              </w:rPr>
              <w:t>Treppensteigen</w:t>
            </w:r>
          </w:p>
        </w:tc>
        <w:tc>
          <w:tcPr>
            <w:tcW w:type="dxa" w:w="4536"/>
          </w:tcPr>
          <w:p>
            <w:r>
              <w:rPr>
                <w:rFonts w:ascii="Times New Roman" w:hAnsi="Times New Roman"/>
                <w:sz w:val="20"/>
              </w:rPr>
              <w:t>unselbstständig</w:t>
            </w:r>
          </w:p>
        </w:tc>
      </w:tr>
    </w:tbl>
    <w:p>
      <w:pPr>
        <w:jc w:val="left"/>
      </w:pPr>
      <w:r>
        <w:t>Gutachterliche Anmerkung: Treppensteigen ist wegen Gonarthrose beidseits, Schwindelattacken und unsicheren Standes nicht mehr ohne personelle Hilfe möglich. Die Versicherte vermeidet die Haustreppe und verlässt die Wohnung nur begleitet. Empfohlen wurden bereits 2024 wohnumfeldverbessernde Maßnahmen am Hauseingang; eine Konkretisierung erfolgte damals nicht.</w:t>
      </w:r>
    </w:p>
    <w:p>
      <w:pPr>
        <w:pStyle w:val="Heading2"/>
      </w:pPr>
      <w:r>
        <w:rPr>
          <w:rFonts w:ascii="Times New Roman" w:hAnsi="Times New Roman"/>
        </w:rPr>
        <w:t>Nachtrag des Hausarztes vom 15.06.2026</w:t>
      </w:r>
    </w:p>
    <w:p>
      <w:pPr>
        <w:jc w:val="left"/>
      </w:pPr>
      <w:r>
        <w:t>Praxis Dr. med. Jens Klausing, Facharzt für Allgemeinmedizin</w:t>
      </w:r>
    </w:p>
    <w:p>
      <w:pPr>
        <w:jc w:val="left"/>
      </w:pPr>
      <w:r>
        <w:t>Große Gartenstraße 4, 19322 Wittenberge</w:t>
      </w:r>
    </w:p>
    <w:p>
      <w:pPr>
        <w:jc w:val="left"/>
      </w:pPr>
      <w:r>
        <w:t>Zur Vorlage bei der Pflegekasse:</w:t>
      </w:r>
    </w:p>
    <w:p>
      <w:pPr>
        <w:jc w:val="left"/>
      </w:pPr>
      <w:r>
        <w:t>Frau Pahl ist im Innenbereich mit Gehstock mobil. Die drei Außenstufen ihres Hauses stellen dagegen ein reales und dokumentiertes Sturzrisiko dar; seit Januar 2026 sind mir drei Stürze auf der Eingangstreppe bekannt, davon einer mit einer Platzwunde am Kopf, die ich am 12.01.2026 versorgt habe. Ein mobiles Rampensystem muss angelegt, ausgerichtet und nach der Nutzung wieder entfernt werden. Die Patientin kann dies krankheitsbedingt nicht selbst tun. Eine fest installierte Rampe mit Handlauf würde die selbstständige Lebensführung deutlich verbessern, das Sturzrisiko am Hauseingang beseitigen und die pflegende Tochter entlasten.</w:t>
      </w:r>
    </w:p>
    <w:p>
      <w:pPr>
        <w:jc w:val="left"/>
      </w:pPr>
      <w:r>
        <w:t>gez. Dr. Klausing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