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Eilrechtsschutz und Ortstermin</w:t>
      </w:r>
    </w:p>
    <w:p>
      <w:pPr>
        <w:jc w:val="left"/>
      </w:pPr>
      <w:r>
        <w:t>Interner Vermerk, Az. 2026-77-PA/ah, Rechtsanwältin Ahrend, 06.07.2026</w:t>
      </w:r>
    </w:p>
    <w:p>
      <w:pPr>
        <w:pStyle w:val="Heading2"/>
      </w:pPr>
      <w:r>
        <w:rPr>
          <w:rFonts w:ascii="Times New Roman" w:hAnsi="Times New Roman"/>
        </w:rPr>
        <w:t>Vermerk zur Eilbedürftigkeit</w:t>
      </w:r>
    </w:p>
    <w:p>
      <w:pPr>
        <w:jc w:val="left"/>
      </w:pPr>
      <w:r>
        <w:t>Ein klassischer Eilantrag ist nicht automatisch angezeigt, weil es nicht um eine sofort lebensbedrohliche Behandlung geht. Gleichwohl kann Eilbedürftigkeit entstehen, wenn Frau Pahl ohne Rampe ihre Wohnung faktisch nicht verlassen kann, Arzttermine ausfallen und weitere Stürze drohen. Der nächste orthopädische Termin ist am 19.07.2026, der Hausarzttermin am 24.07.2026.</w:t>
      </w:r>
    </w:p>
    <w:p>
      <w:pPr>
        <w:pStyle w:val="Heading2"/>
      </w:pPr>
      <w:r>
        <w:rPr>
          <w:rFonts w:ascii="Times New Roman" w:hAnsi="Times New Roman"/>
        </w:rPr>
        <w:t>Ortsterminvorschlag</w:t>
      </w:r>
    </w:p>
    <w:p>
      <w:pPr>
        <w:jc w:val="left"/>
      </w:pPr>
      <w:r>
        <w:t>Die Pflegekasse soll aufgefordert werden, einen Ortstermin mit Pflegeberatung, MD oder technischem Dienst durchzuführen. Prüfpunkt ist nicht die abstrakte Existenz einer billigeren Rampe, sondern die Frage, ob Frau Pahl diese Rampe selbstständig und sicher nutzen kann.</w:t>
      </w:r>
    </w:p>
    <w:p>
      <w:pPr>
        <w:pStyle w:val="Heading2"/>
      </w:pPr>
      <w:r>
        <w:rPr>
          <w:rFonts w:ascii="Times New Roman" w:hAnsi="Times New Roman"/>
        </w:rPr>
        <w:t>Beweisfragen</w:t>
      </w:r>
    </w:p>
    <w:p>
      <w:pPr>
        <w:pStyle w:val="ListNumber"/>
      </w:pPr>
      <w:r>
        <w:t>Kann Frau Pahl die mobile Rampe selbst tragen und anlegen?</w:t>
      </w:r>
    </w:p>
    <w:p>
      <w:pPr>
        <w:pStyle w:val="ListNumber"/>
      </w:pPr>
      <w:r>
        <w:t>Ist die mobile Rampe bei Nässe, Laub und Schnee sicher nutzbar?</w:t>
      </w:r>
    </w:p>
    <w:p>
      <w:pPr>
        <w:pStyle w:val="ListNumber"/>
      </w:pPr>
      <w:r>
        <w:t>Ermöglicht nur die feste Rampe selbstständiges Verlassen des Hauses?</w:t>
      </w:r>
    </w:p>
    <w:p>
      <w:pPr>
        <w:pStyle w:val="ListNumber"/>
      </w:pPr>
      <w:r>
        <w:t>Ist die geplante Steigung mit Gehstock und Handlauf geeignet?</w:t>
      </w:r>
    </w:p>
    <w:p>
      <w:pPr>
        <w:pStyle w:val="ListNumber"/>
      </w:pPr>
      <w:r>
        <w:t>Welche Kostenanteile sind baulich zwingend und welche optional?</w:t>
      </w:r>
    </w:p>
    <w:p>
      <w:pPr>
        <w:pStyle w:val="Heading2"/>
      </w:pPr>
      <w:r>
        <w:rPr>
          <w:rFonts w:ascii="Times New Roman" w:hAnsi="Times New Roman"/>
        </w:rPr>
        <w:t>Vergleichsvorschlag</w:t>
      </w:r>
    </w:p>
    <w:p>
      <w:pPr>
        <w:jc w:val="left"/>
      </w:pPr>
      <w:r>
        <w:t>Die Pflegekasse bewilligt den Höchstzuschuss für die feste Rampe. Die Tochter beantragt ergänzend kommunale Wohnraumberatung und Sozialhilfe für den verbleibenden Eigenanteil. Die Beauftragung erfolgt erst nach schriftlicher Förderzusage, um keine Förderfähigkeit zu verlieren.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