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Ortstermin Bauamt und Skizzenmaß</w:t>
      </w:r>
    </w:p>
    <w:p>
      <w:pPr>
        <w:jc w:val="left"/>
      </w:pPr>
      <w:r>
        <w:t>Stadt Wittenberge, Fachbereich Bauen und Ordnung</w:t>
      </w:r>
    </w:p>
    <w:p>
      <w:pPr>
        <w:jc w:val="left"/>
      </w:pPr>
      <w:r>
        <w:t>August-Bebel-Straße 10, 19322 Wittenberge</w:t>
      </w:r>
    </w:p>
    <w:p>
      <w:pPr>
        <w:jc w:val="left"/>
      </w:pPr>
      <w:r>
        <w:t>Protokollvermerk zum Ortstermin am 30.06.2026, 10:00 Uhr</w:t>
      </w:r>
    </w:p>
    <w:p>
      <w:pPr>
        <w:jc w:val="left"/>
      </w:pPr>
      <w:r>
        <w:t>Objekt: Am Krähenberg 12, 19322 Wittenberge</w:t>
      </w:r>
    </w:p>
    <w:p>
      <w:pPr>
        <w:jc w:val="left"/>
      </w:pPr>
      <w:r>
        <w:t>Beteiligte: Frau Irmgard Pahl (Eigentümerin), Frau Beate Willer (Tochter, bevollmächtigt), Frau Hartkopf (Pflegestützpunkt Prignitz), Herr Sacher (Sachbearbeiter Bauordnung), Herr Teschner (Metallbau Teschner GmbH, telefonisch zugeschaltet)</w:t>
      </w:r>
    </w:p>
    <w:p>
      <w:pPr>
        <w:pStyle w:val="Heading2"/>
      </w:pPr>
      <w:r>
        <w:rPr>
          <w:rFonts w:ascii="Times New Roman" w:hAnsi="Times New Roman"/>
        </w:rPr>
        <w:t>Bestand</w:t>
      </w:r>
    </w:p>
    <w:p>
      <w:pPr>
        <w:jc w:val="left"/>
      </w:pPr>
      <w:r>
        <w:t>Das Reihenhaus stammt aus dem Jahr 1968 und liegt an einer schmalen Nebenstraße. Vom Gartentor bis zur Haustür sind es 8,40 m über einen gepflasterten Weg im Vorgarten. Unmittelbar vor der Haustür befinden sich drei Betonstufen mit je 16 cm Steigung; die Haustürschwelle ist zusätzlich 5 cm hoch, zu überwindende Gesamthöhe damit 53 cm. Links neben der Treppe liegt ein Vorgartenstreifen von 1,60 m Breite, rechts die Hauswand. Der Gehweg vor dem Grundstück ist kommunal befestigt, aber uneben.</w:t>
      </w:r>
    </w:p>
    <w:p>
      <w:pPr>
        <w:jc w:val="left"/>
      </w:pPr>
      <w:r>
        <w:t>Frau Pahl geht innerhalb der Wohnung mit Gehstock. Beim Termin wurde beobachtet, dass sie die Stufen nur rückwärtsgewandt und mit beiden Händen am Türrahmen beziehungsweise am Arm der Tochter bewältigt.</w:t>
      </w:r>
    </w:p>
    <w:p>
      <w:pPr>
        <w:pStyle w:val="Heading2"/>
      </w:pPr>
      <w:r>
        <w:rPr>
          <w:rFonts w:ascii="Times New Roman" w:hAnsi="Times New Roman"/>
        </w:rPr>
        <w:t>Geprüfte Varianten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Variante</w:t>
            </w:r>
          </w:p>
        </w:tc>
        <w:tc>
          <w:tcPr>
            <w:tcW w:type="dxa" w:w="1814"/>
          </w:tcPr>
          <w:p>
            <w:r>
              <w:rPr>
                <w:rFonts w:ascii="Times New Roman" w:hAnsi="Times New Roman"/>
                <w:b/>
                <w:sz w:val="20"/>
              </w:rPr>
              <w:t>Länge</w:t>
            </w:r>
          </w:p>
        </w:tc>
        <w:tc>
          <w:tcPr>
            <w:tcW w:type="dxa" w:w="1814"/>
          </w:tcPr>
          <w:p>
            <w:r>
              <w:rPr>
                <w:rFonts w:ascii="Times New Roman" w:hAnsi="Times New Roman"/>
                <w:b/>
                <w:sz w:val="20"/>
              </w:rPr>
              <w:t>Breite</w:t>
            </w:r>
          </w:p>
        </w:tc>
        <w:tc>
          <w:tcPr>
            <w:tcW w:type="dxa" w:w="1814"/>
          </w:tcPr>
          <w:p>
            <w:r>
              <w:rPr>
                <w:rFonts w:ascii="Times New Roman" w:hAnsi="Times New Roman"/>
                <w:b/>
                <w:sz w:val="20"/>
              </w:rPr>
              <w:t>Eingriff</w:t>
            </w:r>
          </w:p>
        </w:tc>
        <w:tc>
          <w:tcPr>
            <w:tcW w:type="dxa" w:w="1814"/>
          </w:tcPr>
          <w:p>
            <w:r>
              <w:rPr>
                <w:rFonts w:ascii="Times New Roman" w:hAnsi="Times New Roman"/>
                <w:b/>
                <w:sz w:val="20"/>
              </w:rPr>
              <w:t>Einschätzung</w:t>
            </w:r>
          </w:p>
        </w:tc>
      </w:tr>
      <w:tr>
        <w:tc>
          <w:tcPr>
            <w:tcW w:type="dxa" w:w="1814"/>
          </w:tcPr>
          <w:p>
            <w:r>
              <w:rPr>
                <w:rFonts w:ascii="Times New Roman" w:hAnsi="Times New Roman"/>
                <w:sz w:val="20"/>
              </w:rPr>
              <w:t>Feste Rampe diagonal durch den Vorgarten (Angebot Teschner)</w:t>
            </w:r>
          </w:p>
        </w:tc>
        <w:tc>
          <w:tcPr>
            <w:tcW w:type="dxa" w:w="1814"/>
          </w:tcPr>
          <w:p>
            <w:r>
              <w:rPr>
                <w:rFonts w:ascii="Times New Roman" w:hAnsi="Times New Roman"/>
                <w:sz w:val="20"/>
              </w:rPr>
              <w:t>6,20 m</w:t>
            </w:r>
          </w:p>
        </w:tc>
        <w:tc>
          <w:tcPr>
            <w:tcW w:type="dxa" w:w="1814"/>
          </w:tcPr>
          <w:p>
            <w:r>
              <w:rPr>
                <w:rFonts w:ascii="Times New Roman" w:hAnsi="Times New Roman"/>
                <w:sz w:val="20"/>
              </w:rPr>
              <w:t>1,20 m</w:t>
            </w:r>
          </w:p>
        </w:tc>
        <w:tc>
          <w:tcPr>
            <w:tcW w:type="dxa" w:w="1814"/>
          </w:tcPr>
          <w:p>
            <w:r>
              <w:rPr>
                <w:rFonts w:ascii="Times New Roman" w:hAnsi="Times New Roman"/>
                <w:sz w:val="20"/>
              </w:rPr>
              <w:t>Fundament, Pflasteranpassung, Entwässerungsrinne, Versetzen des Briefkastens um 40 cm</w:t>
            </w:r>
          </w:p>
        </w:tc>
        <w:tc>
          <w:tcPr>
            <w:tcW w:type="dxa" w:w="1814"/>
          </w:tcPr>
          <w:p>
            <w:r>
              <w:rPr>
                <w:rFonts w:ascii="Times New Roman" w:hAnsi="Times New Roman"/>
                <w:sz w:val="20"/>
              </w:rPr>
              <w:t>technisch gut umsetzbar, Steigung 5,8 Prozent ohne Zwischenpodest</w:t>
            </w:r>
          </w:p>
        </w:tc>
      </w:tr>
      <w:tr>
        <w:tc>
          <w:tcPr>
            <w:tcW w:type="dxa" w:w="1814"/>
          </w:tcPr>
          <w:p>
            <w:r>
              <w:rPr>
                <w:rFonts w:ascii="Times New Roman" w:hAnsi="Times New Roman"/>
                <w:sz w:val="20"/>
              </w:rPr>
              <w:t>Gerade Rampe vom Gehweg zur Tür</w:t>
            </w:r>
          </w:p>
        </w:tc>
        <w:tc>
          <w:tcPr>
            <w:tcW w:type="dxa" w:w="1814"/>
          </w:tcPr>
          <w:p>
            <w:r>
              <w:rPr>
                <w:rFonts w:ascii="Times New Roman" w:hAnsi="Times New Roman"/>
                <w:sz w:val="20"/>
              </w:rPr>
              <w:t>7,60 m</w:t>
            </w:r>
          </w:p>
        </w:tc>
        <w:tc>
          <w:tcPr>
            <w:tcW w:type="dxa" w:w="1814"/>
          </w:tcPr>
          <w:p>
            <w:r>
              <w:rPr>
                <w:rFonts w:ascii="Times New Roman" w:hAnsi="Times New Roman"/>
                <w:sz w:val="20"/>
              </w:rPr>
              <w:t>1,20 m</w:t>
            </w:r>
          </w:p>
        </w:tc>
        <w:tc>
          <w:tcPr>
            <w:tcW w:type="dxa" w:w="1814"/>
          </w:tcPr>
          <w:p>
            <w:r>
              <w:rPr>
                <w:rFonts w:ascii="Times New Roman" w:hAnsi="Times New Roman"/>
                <w:sz w:val="20"/>
              </w:rPr>
              <w:t>würde in den öffentlichen Gehweg ragen</w:t>
            </w:r>
          </w:p>
        </w:tc>
        <w:tc>
          <w:tcPr>
            <w:tcW w:type="dxa" w:w="1814"/>
          </w:tcPr>
          <w:p>
            <w:r>
              <w:rPr>
                <w:rFonts w:ascii="Times New Roman" w:hAnsi="Times New Roman"/>
                <w:sz w:val="20"/>
              </w:rPr>
              <w:t>bauordnungsrechtlich nicht vertretbar</w:t>
            </w:r>
          </w:p>
        </w:tc>
      </w:tr>
      <w:tr>
        <w:tc>
          <w:tcPr>
            <w:tcW w:type="dxa" w:w="1814"/>
          </w:tcPr>
          <w:p>
            <w:r>
              <w:rPr>
                <w:rFonts w:ascii="Times New Roman" w:hAnsi="Times New Roman"/>
                <w:sz w:val="20"/>
              </w:rPr>
              <w:t>Mobile Teleskopschienen</w:t>
            </w:r>
          </w:p>
        </w:tc>
        <w:tc>
          <w:tcPr>
            <w:tcW w:type="dxa" w:w="1814"/>
          </w:tcPr>
          <w:p>
            <w:r>
              <w:rPr>
                <w:rFonts w:ascii="Times New Roman" w:hAnsi="Times New Roman"/>
                <w:sz w:val="20"/>
              </w:rPr>
              <w:t>2,90 m</w:t>
            </w:r>
          </w:p>
        </w:tc>
        <w:tc>
          <w:tcPr>
            <w:tcW w:type="dxa" w:w="1814"/>
          </w:tcPr>
          <w:p>
            <w:r>
              <w:rPr>
                <w:rFonts w:ascii="Times New Roman" w:hAnsi="Times New Roman"/>
                <w:sz w:val="20"/>
              </w:rPr>
              <w:t>0,28 m je Schiene</w:t>
            </w:r>
          </w:p>
        </w:tc>
        <w:tc>
          <w:tcPr>
            <w:tcW w:type="dxa" w:w="1814"/>
          </w:tcPr>
          <w:p>
            <w:r>
              <w:rPr>
                <w:rFonts w:ascii="Times New Roman" w:hAnsi="Times New Roman"/>
                <w:sz w:val="20"/>
              </w:rPr>
              <w:t>keine feste Anlage</w:t>
            </w:r>
          </w:p>
        </w:tc>
        <w:tc>
          <w:tcPr>
            <w:tcW w:type="dxa" w:w="1814"/>
          </w:tcPr>
          <w:p>
            <w:r>
              <w:rPr>
                <w:rFonts w:ascii="Times New Roman" w:hAnsi="Times New Roman"/>
                <w:sz w:val="20"/>
              </w:rPr>
              <w:t>von der Nutzerin nicht selbst anzulegen; bei Nässe und Schnee eingeschränkt</w:t>
            </w:r>
          </w:p>
        </w:tc>
      </w:tr>
      <w:tr>
        <w:tc>
          <w:tcPr>
            <w:tcW w:type="dxa" w:w="1814"/>
          </w:tcPr>
          <w:p>
            <w:r>
              <w:rPr>
                <w:rFonts w:ascii="Times New Roman" w:hAnsi="Times New Roman"/>
                <w:sz w:val="20"/>
              </w:rPr>
              <w:t>Treppensitzlift außen</w:t>
            </w:r>
          </w:p>
        </w:tc>
        <w:tc>
          <w:tcPr>
            <w:tcW w:type="dxa" w:w="1814"/>
          </w:tcPr>
          <w:p>
            <w:r>
              <w:rPr>
                <w:rFonts w:ascii="Times New Roman" w:hAnsi="Times New Roman"/>
                <w:sz w:val="20"/>
              </w:rPr>
              <w:t>3 Stufen</w:t>
            </w:r>
          </w:p>
        </w:tc>
        <w:tc>
          <w:tcPr>
            <w:tcW w:type="dxa" w:w="1814"/>
          </w:tcPr>
          <w:p>
            <w:r>
              <w:rPr>
                <w:rFonts w:ascii="Times New Roman" w:hAnsi="Times New Roman"/>
                <w:sz w:val="20"/>
              </w:rPr>
              <w:t>Sitzlift</w:t>
            </w:r>
          </w:p>
        </w:tc>
        <w:tc>
          <w:tcPr>
            <w:tcW w:type="dxa" w:w="1814"/>
          </w:tcPr>
          <w:p>
            <w:r>
              <w:rPr>
                <w:rFonts w:ascii="Times New Roman" w:hAnsi="Times New Roman"/>
                <w:sz w:val="20"/>
              </w:rPr>
              <w:t>Wetterschutz erforderlich</w:t>
            </w:r>
          </w:p>
        </w:tc>
        <w:tc>
          <w:tcPr>
            <w:tcW w:type="dxa" w:w="1814"/>
          </w:tcPr>
          <w:p>
            <w:r>
              <w:rPr>
                <w:rFonts w:ascii="Times New Roman" w:hAnsi="Times New Roman"/>
                <w:sz w:val="20"/>
              </w:rPr>
              <w:t>Bedienung bei Eis problematisch, löst Schwelle nicht</w:t>
            </w:r>
          </w:p>
        </w:tc>
      </w:tr>
    </w:tbl>
    <w:p>
      <w:pPr>
        <w:pStyle w:val="Heading2"/>
      </w:pPr>
      <w:r>
        <w:rPr>
          <w:rFonts w:ascii="Times New Roman" w:hAnsi="Times New Roman"/>
        </w:rPr>
        <w:t>Hinweise des Bauamts</w:t>
      </w:r>
    </w:p>
    <w:p>
      <w:pPr>
        <w:jc w:val="left"/>
      </w:pPr>
      <w:r>
        <w:t>Die feste Rampe liegt vollständig auf dem Grundstück und ist nach Einschätzung des Sachbearbeiters verfahrensfrei; eine formlose Bauanzeige wird gleichwohl empfohlen und kann zusammen mit der Werkplanung eingereicht werden. Nachbarrechte sind nicht berührt; der Grenzabstand zum Nachbargrundstück (Familie Buschkow, Am Krähenberg 10) wird eingehalten. Die vorhandenen Betonstufen können seitlich erhalten bleiben.</w:t>
      </w:r>
    </w:p>
    <w:p>
      <w:pPr>
        <w:jc w:val="left"/>
      </w:pPr>
      <w:r>
        <w:t>Der Sachbearbeiter weist ausdrücklich darauf hin, dass die bauliche Machbarkeit nichts darüber aussagt, welcher Kostenträger die Maßnahme finanziert. Das Bauamt bestätigt lediglich, dass die feste Rampe baulich realistisch und die einzige Variante ist, die den Hauseingang ohne fremde Hilfe nutzbar macht.</w:t>
      </w:r>
    </w:p>
    <w:p>
      <w:pPr>
        <w:jc w:val="left"/>
      </w:pPr>
      <w:r>
        <w:t>gez. Sacher, Fachbereich Bauen und Ordnung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