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Anzeige eines Restrukturierungsvorhabens nach Paragraf 31 StaRUG</w:t>
      </w:r>
    </w:p>
    <w:p>
      <w:pPr>
        <w:jc w:val="left"/>
      </w:pPr>
      <w:r>
        <w:rPr>
          <w:b/>
        </w:rPr>
        <w:t>Rechtsanwälte Quirrenbach &amp; Partner mbB</w:t>
      </w:r>
      <w:r>
        <w:t xml:space="preserve"> · Königsallee 88, 40212 Düsseldorf</w:t>
      </w:r>
    </w:p>
    <w:p>
      <w:pPr>
        <w:jc w:val="left"/>
      </w:pPr>
      <w:r>
        <w:rPr>
          <w:b/>
        </w:rPr>
        <w:t>An das Amtsgericht Düsseldorf — Restrukturierungsgericht —, Werdener Straße 1, 40227 Düsseldorf</w:t>
      </w:r>
    </w:p>
    <w:p>
      <w:pPr>
        <w:jc w:val="left"/>
      </w:pPr>
      <w:r>
        <w:t>Düsseldorf, den 08.11.2024 · Eingang bei Gericht: 08.11.2024 · Az. (neu): 603 RES 6/24</w:t>
      </w:r>
    </w:p>
    <w:p>
      <w:pPr>
        <w:jc w:val="left"/>
      </w:pPr>
      <w:r>
        <w:t>Namens und in Vollmacht der Silberweiher Beteiligungs GmbH zeigen wir das Restrukturierungsvorhaben der Gesellschaft an.</w:t>
      </w:r>
    </w:p>
    <w:p>
      <w:pPr>
        <w:jc w:val="left"/>
      </w:pPr>
      <w:r>
        <w:t>1 Die Schuldnerin ist eine Beteiligungsholding ohne operatives Geschäft. Nach der Insolvenz ihrer beiden Tochtergesellschaften am 01.10.2024 ist ihr wesentliches Passivum die Höchstbetragsbürgschaft zugunsten der Rheinboden Kreditbank AG für Darlehen der Silberweiher Logistik GmbH; die Bank hat eine Inanspruchnahme angekündigt, aber noch nicht fällig gestellt. Daneben besteht eine Honorarforderung der Kanzlei Fedder &amp; Sohst über 1.897,00 EUR.</w:t>
      </w:r>
    </w:p>
    <w:p>
      <w:pPr>
        <w:jc w:val="left"/>
      </w:pPr>
      <w:r>
        <w:t>2 Das Restrukturierungskonzept sieht die Gestaltung beider Forderungen durch einen Restrukturierungsplan mit zwei Gruppen und einer Befriedigungsquote von jeweils 1 Prozent vor. Die Planquote wird durch einen Beitrag der Wachlarz Industria Sp. z o.o., Poznań, in Höhe von 42.000,00 EUR finanziert, die an der Übernahme der Beteiligungsmäntel interessiert ist. Bei einer Liquidation der Schuldnerin wäre mit keiner Quote zu rechnen.</w:t>
      </w:r>
    </w:p>
    <w:p>
      <w:pPr>
        <w:jc w:val="left"/>
      </w:pPr>
      <w:r>
        <w:t>3 Der Entwurf des Restrukturierungsplans ist beigefügt (Anlage RA 1); ferner der Beteiligungsspiegel und die Vermögensübersicht (Anlagen RA 2 und RA 3). Zahlungsunfähigkeit oder Überschuldung liegen zum Zeitpunkt dieser Anzeige nicht vor; drohende Zahlungsunfähigkeit im Sinne des Paragraf 18 Abs. 2 InsO ist gegeben.</w:t>
      </w:r>
    </w:p>
    <w:p>
      <w:pPr>
        <w:jc w:val="left"/>
      </w:pPr>
      <w:r>
        <w:rPr>
          <w:i/>
        </w:rPr>
        <w:t>(gez.) Dr. Quirrenbach, Rechtsanwalt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