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Restrukturierungsplan der Silberweiher Beteiligungs GmbH — Entwurf (Auszug)</w:t>
      </w:r>
    </w:p>
    <w:p>
      <w:pPr>
        <w:jc w:val="left"/>
      </w:pPr>
      <w:r>
        <w:t>Stand: 05.11.2024 · Anlage RA 1 zur Anzeige vom 08.11.2024</w:t>
      </w:r>
    </w:p>
    <w:p>
      <w:pPr>
        <w:pStyle w:val="Heading2"/>
      </w:pPr>
      <w:r>
        <w:rPr>
          <w:rFonts w:ascii="Times New Roman" w:hAnsi="Times New Roman"/>
        </w:rPr>
        <w:t>Darstellender Teil (Auszug)</w:t>
      </w:r>
    </w:p>
    <w:p>
      <w:pPr>
        <w:jc w:val="left"/>
      </w:pPr>
      <w:r>
        <w:t>Die Krise der Schuldnerin beruht auf der Insolvenz ihrer beiden Tochtergesellschaften. Eigene Einnahmen bestehen nicht; die Verwaltungskosten werden vom Geschäftsführer verauslagt. Der Fortbestand der Schuldnerin als Beteiligungsträgerin ist Grundlage des Erwerbsinteresses der Wachlarz Industria Sp. z o.o.</w:t>
      </w:r>
    </w:p>
    <w:p>
      <w:pPr>
        <w:pStyle w:val="Heading2"/>
      </w:pPr>
      <w:r>
        <w:rPr>
          <w:rFonts w:ascii="Times New Roman" w:hAnsi="Times New Roman"/>
        </w:rPr>
        <w:t>Gläubigergruppen und Plangestaltung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Gruppe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Gläubiger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Forderung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Gestaltung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 — Gläubiger mit Forderungen aus Drittsicherheiten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Rheinboden Kreditbank 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610.054,00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Quote 1 Prozent = 6.100,54 EUR, Erlass im Übrigen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 — sonstige einfache Restrukturierungsgläubiger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Kanzlei Fedder &amp; Sohst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1.897,00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Quote 1 Prozent = 18,97 EUR, Erlass im Übrigen</w:t>
            </w:r>
          </w:p>
        </w:tc>
      </w:tr>
    </w:tbl>
    <w:p>
      <w:pPr>
        <w:jc w:val="left"/>
      </w:pPr>
      <w:r>
        <w:t xml:space="preserve">Unter die Gläubiger zur Verteilung kommender Gesamtbetrag: </w:t>
      </w:r>
      <w:r>
        <w:rPr>
          <w:b/>
        </w:rPr>
        <w:t>6.119,51 EUR</w:t>
      </w:r>
      <w:r>
        <w:t>.</w:t>
      </w:r>
    </w:p>
    <w:p>
      <w:pPr>
        <w:pStyle w:val="Heading2"/>
      </w:pPr>
      <w:r>
        <w:rPr>
          <w:rFonts w:ascii="Times New Roman" w:hAnsi="Times New Roman"/>
        </w:rPr>
        <w:t>Vergleichsrechnung (Paragraf 6 Abs. 2 StaRUG)</w:t>
      </w:r>
    </w:p>
    <w:p>
      <w:pPr>
        <w:jc w:val="left"/>
      </w:pPr>
      <w:r>
        <w:t xml:space="preserve">Ohne Plan ist die Schuldnerin zu liquidieren. Verwertbares Aktivvermögen besteht nicht; die Beteiligungen sind infolge der eröffneten Insolvenzverfahren wertlos. </w:t>
      </w:r>
      <w:r>
        <w:rPr>
          <w:b/>
        </w:rPr>
        <w:t>Liquidationsquote: 0 Prozent.</w:t>
      </w:r>
      <w:r>
        <w:t xml:space="preserve"> Der Plan stellt die Gläubiger folglich besser.</w:t>
      </w:r>
    </w:p>
    <w:p>
      <w:pPr>
        <w:pStyle w:val="Heading2"/>
      </w:pPr>
      <w:r>
        <w:rPr>
          <w:rFonts w:ascii="Times New Roman" w:hAnsi="Times New Roman"/>
        </w:rPr>
        <w:t>Finanzierung</w:t>
      </w:r>
    </w:p>
    <w:p>
      <w:pPr>
        <w:jc w:val="left"/>
      </w:pPr>
      <w:r>
        <w:t xml:space="preserve">Die Planquote wird ausschließlich aus einem Beitrag der Wachlarz Industria Sp. z o.o. in Höhe von </w:t>
      </w:r>
      <w:r>
        <w:rPr>
          <w:b/>
        </w:rPr>
        <w:t>42.000,00 EUR</w:t>
      </w:r>
      <w:r>
        <w:t xml:space="preserve"> aufgebracht (Beitragserklärung als Anhang; Differenz zur Quote deckt Verfahrens- und Beraterkosten). Eigene Mittel der Schuldnerin stehen nicht zur Verfügung.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