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Amtsgericht Düsseldorf — Restrukturierungsgericht — Beschluss vom 15.01.2025 — 603 RES 6/24</w:t>
      </w:r>
    </w:p>
    <w:p>
      <w:pPr>
        <w:jc w:val="left"/>
      </w:pPr>
      <w:r>
        <w:t xml:space="preserve">In der Restrukturierungssache der </w:t>
      </w:r>
      <w:r>
        <w:rPr>
          <w:b/>
        </w:rPr>
        <w:t>Silberweiher Beteiligungs GmbH</w:t>
      </w:r>
      <w:r>
        <w:t>, Grafenberger Allee 214, 40237 Düsseldorf, vertreten durch den Geschäftsführer Dr. Cornelius Wefing,</w:t>
      </w:r>
    </w:p>
    <w:p>
      <w:pPr>
        <w:jc w:val="left"/>
      </w:pPr>
      <w:r>
        <w:t xml:space="preserve">wird die Restrukturierungssache </w:t>
      </w:r>
      <w:r>
        <w:rPr>
          <w:b/>
        </w:rPr>
        <w:t>aufgehoben</w:t>
      </w:r>
      <w:r>
        <w:t xml:space="preserve"> (Paragraf 33 Abs. 2 Satz 1 Nr. 2 StaRUG).</w:t>
      </w:r>
    </w:p>
    <w:p>
      <w:pPr>
        <w:jc w:val="left"/>
      </w:pPr>
      <w:r>
        <w:rPr>
          <w:b/>
        </w:rPr>
        <w:t>Gründe:</w:t>
      </w:r>
      <w:r>
        <w:t xml:space="preserve"> Die Schuldnerin hat am 06.12.2024 den Eintritt der Zahlungsunfähigkeit angezeigt. Unabhängig davon hat das angezeigte Restrukturierungsvorhaben keine Aussicht auf Umsetzung. Der vorgelegte Planentwurf teilt die nur zwei Gläubigerinnen in zwei Gruppen ein, ohne dass die Kriterien der Gruppenbildung sachgerecht dargetan und begründet worden sind; insbesondere bleibt offen, weshalb die Forderung der Gruppe 2, deren Art und genauer Rechtsgrund nicht hinreichend dargelegt sind, anders behandelt werden soll als die Forderung der Gruppe 1. Auf die Frage, ob nach der Anzeige der Zahlungsunfähigkeit von einer Aufhebung nach Paragraf 33 Abs. 2 Satz 1 Nr. 1 StaRUG abgesehen werden könnte, kommt es danach nicht mehr an.</w:t>
      </w:r>
    </w:p>
    <w:p>
      <w:pPr>
        <w:jc w:val="left"/>
      </w:pPr>
      <w:r>
        <w:rPr>
          <w:b/>
        </w:rPr>
        <w:t>Rechtsbehelfsbelehrung:</w:t>
      </w:r>
      <w:r>
        <w:t xml:space="preserve"> Gegen diesen Beschluss steht der Schuldnerin die sofortige Beschwerde zu (Paragraf 33 Abs. 4 StaRUG). Sie ist binnen einer Notfrist von zwei Wochen ab Zustellung beim Amtsgericht Düsseldorf einzulegen.</w:t>
      </w:r>
    </w:p>
    <w:p>
      <w:pPr>
        <w:jc w:val="left"/>
      </w:pPr>
      <w:r>
        <w:rPr>
          <w:i/>
        </w:rPr>
        <w:t>(gez.) Dr. Halbach, Richter am Amtsgericht</w:t>
      </w:r>
      <w:r>
        <w:t xml:space="preserve"> · Zugestellt am 16.01.2025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