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Sofortige Beschwerde</w:t>
      </w:r>
    </w:p>
    <w:p>
      <w:pPr>
        <w:jc w:val="left"/>
      </w:pPr>
      <w:r>
        <w:rPr>
          <w:b/>
        </w:rPr>
        <w:t>Rechtsanwälte Quirrenbach &amp; Partner mbB</w:t>
      </w:r>
      <w:r>
        <w:t xml:space="preserve"> · Az. 2024/1187-RES</w:t>
      </w:r>
    </w:p>
    <w:p>
      <w:pPr>
        <w:jc w:val="left"/>
      </w:pPr>
      <w:r>
        <w:rPr>
          <w:b/>
        </w:rPr>
        <w:t>An das Amtsgericht Düsseldorf — Restrukturierungsgericht — 603 RES 6/24</w:t>
      </w:r>
      <w:r>
        <w:t xml:space="preserve"> · Düsseldorf, den 30.01.2025 (per beA)</w:t>
      </w:r>
    </w:p>
    <w:p>
      <w:pPr>
        <w:jc w:val="left"/>
      </w:pPr>
      <w:r>
        <w:t xml:space="preserve">In der Restrukturierungssache der Silberweiher Beteiligungs GmbH legen wir gegen den Beschluss vom 15.01.2025, zugestellt am 16.01.2025, </w:t>
      </w:r>
      <w:r>
        <w:rPr>
          <w:b/>
        </w:rPr>
        <w:t>sofortige Beschwerde</w:t>
      </w:r>
      <w:r>
        <w:t xml:space="preserve"> ein.</w:t>
      </w:r>
    </w:p>
    <w:p>
      <w:pPr>
        <w:jc w:val="left"/>
      </w:pPr>
      <w:r>
        <w:t>Es wird beantragt, den angefochtenen Beschluss aufzuheben und die Restrukturierungssache fortzuführen. Die Schuldnerin hält an ihrer Restrukturierungsanzeige vom 08.11.2024 ausdrücklich fest und verfolgt das angezeigte Vorhaben weiter.</w:t>
      </w:r>
    </w:p>
    <w:p>
      <w:pPr>
        <w:jc w:val="left"/>
      </w:pPr>
      <w:r>
        <w:t>Eine Begründung bleibt gesondertem Schriftsatz vorbehalten.</w:t>
      </w:r>
    </w:p>
    <w:p>
      <w:pPr>
        <w:jc w:val="left"/>
      </w:pPr>
      <w:r>
        <w:rPr>
          <w:i/>
        </w:rPr>
        <w:t>(gez.) Dr. Quirrenbach, Rechtsanwalt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