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Begründung der sofortigen Beschwerde</w:t>
      </w:r>
    </w:p>
    <w:p>
      <w:pPr>
        <w:jc w:val="left"/>
      </w:pPr>
      <w:r>
        <w:rPr>
          <w:b/>
        </w:rPr>
        <w:t>Rechtsanwälte Quirrenbach &amp; Partner mbB</w:t>
      </w:r>
      <w:r>
        <w:t xml:space="preserve"> · </w:t>
      </w:r>
      <w:r>
        <w:rPr>
          <w:b/>
        </w:rPr>
        <w:t>LG Düsseldorf — über AG Düsseldorf, 603 RES 6/24</w:t>
      </w:r>
      <w:r>
        <w:t xml:space="preserve"> · Düsseldorf, den 26.02.2025</w:t>
      </w:r>
    </w:p>
    <w:p>
      <w:pPr>
        <w:jc w:val="left"/>
      </w:pPr>
      <w:r>
        <w:t>1 Die Gruppenbildung ist sachgerecht: Die Forderung der Rheinboden Kreditbank AG beruht auf einer Drittsicherheit für Verbindlichkeiten der insolventen Tochtergesellschaft, die Forderung der Kanzlei Fedder &amp; Sohst auf eigenen Beratungsleistungen für die Schuldnerin. Unterschiedliche Rechtsgründe tragen unterschiedliche Gruppen (Paragraf 9 StaRUG).</w:t>
      </w:r>
    </w:p>
    <w:p>
      <w:pPr>
        <w:jc w:val="left"/>
      </w:pPr>
      <w:r>
        <w:t xml:space="preserve">2 Jedenfalls hätte das Gericht nach Paragraf 33 Abs. 2 Satz 1 Nr. 1 Halbsatz 2 und 3 StaRUG von der Aufhebung absehen müssen. Die Eröffnung eines Insolvenzverfahrens liegt offensichtlich nicht im Interesse der Gläubigergesamtheit: </w:t>
      </w:r>
      <w:r>
        <w:rPr>
          <w:b/>
        </w:rPr>
        <w:t>Der Plan bietet 1 Prozent, die Liquidation 0 Prozent.</w:t>
      </w:r>
      <w:r>
        <w:t xml:space="preserve"> Ein Insolvenzverfahren brächte den Gläubigern keinen Vorteil, sondern reduzierte ihre Befriedigungsquote erheblich, weil Verfahrenskosten jede Masse aufzehrten.</w:t>
      </w:r>
    </w:p>
    <w:p>
      <w:pPr>
        <w:jc w:val="left"/>
      </w:pPr>
      <w:r>
        <w:t>3 Die Erreichung des Restrukturierungsziels ist überwiegend wahrscheinlich. Die Wachlarz Industria Sp. z o.o. hat ihren Beitrag über 42.000,00 EUR erklärt; an ihrem Erwerbsinteresse an der Beteiligungsstruktur besteht kein Zweifel. Die Zahlungsunfähigkeit beruht allein auf der Fälligstellung der planunterworfenen Bankforderung und entfiele mit Planbestätigung.</w:t>
      </w:r>
    </w:p>
    <w:p>
      <w:pPr>
        <w:jc w:val="left"/>
      </w:pPr>
      <w:r>
        <w:rPr>
          <w:i/>
        </w:rPr>
        <w:t>(gez.) Dr. Quirrenbach, Rechtsanwalt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