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Senatshinweis des BGH vom 09.09.2025 und Stellungnahme vom 30.09.2025 — IX ZB 18/25</w:t>
      </w:r>
    </w:p>
    <w:p>
      <w:pPr>
        <w:pStyle w:val="Heading2"/>
      </w:pPr>
      <w:r>
        <w:rPr>
          <w:rFonts w:ascii="Times New Roman" w:hAnsi="Times New Roman"/>
        </w:rPr>
        <w:t>Hinweis des Senats (Abschrift, Auszug)</w:t>
      </w:r>
    </w:p>
    <w:p>
      <w:pPr>
        <w:jc w:val="left"/>
      </w:pPr>
      <w:r>
        <w:t>„Der Senat weist darauf hin, dass die Restrukturierungsanzeige vom 08.11.2024 aus formalen Gründen wirkungslos sein könnte: Mit der Aufhebung der Restrukturierungssache dürfte die Anzeige nach Paragraf 31 Abs. 4 Nr. 3 StaRUG ihre Wirkung verloren haben; zudem sind seit ihrem Eingang mehr als sechs Monate vergangen (Paragraf 31 Abs. 4 Nr. 4 StaRUG). Gelegenheit zur Stellungnahme binnen drei Wochen."</w:t>
      </w:r>
    </w:p>
    <w:p>
      <w:pPr>
        <w:pStyle w:val="Heading2"/>
      </w:pPr>
      <w:r>
        <w:rPr>
          <w:rFonts w:ascii="Times New Roman" w:hAnsi="Times New Roman"/>
        </w:rPr>
        <w:t>Stellungnahme der Schuldnerin (Abschrift, Auszug)</w:t>
      </w:r>
    </w:p>
    <w:p>
      <w:pPr>
        <w:jc w:val="left"/>
      </w:pPr>
      <w:r>
        <w:t>„Das Rechtsschutzinteresse der Schuldnerin besteht fort. Das Gebot effektiven Rechtsschutzes verbietet es, der Schuldnerin die in Paragraf 33 Abs. 4 StaRUG ausdrücklich eröffnete Beschwerde dadurch zu nehmen, dass gerade die angefochtene Aufhebung die Anzeige wirkungslos werden lässt; bei Erfolg der Beschwerde erlangt die Anzeige ihre Wirkung wieder. Ebenso wenig kann der bloße Zeitablauf während des Rechtsmittelverfahrens die Anzeige entwerten; die Schuldnerin hat mit ihrer Beschwerde unmissverständlich erklärt, an der Anzeige festzuhalten. Einer erneuten Anzeige bedurfte es nicht."</w:t>
      </w:r>
    </w:p>
    <w:p>
      <w:pPr>
        <w:jc w:val="left"/>
      </w:pPr>
      <w:r>
        <w:rPr>
          <w:i/>
        </w:rPr>
        <w:t>(gez.) Dr. Quirrenbach, Rechtsanwalt — 30.09.2025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