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– StaRUG-Restrukturierungsplan (Planentwurf)</w:t>
      </w:r>
    </w:p>
    <w:p>
      <w:pPr>
        <w:jc w:val="left"/>
      </w:pPr>
      <w:r>
        <w:rPr>
          <w:b/>
        </w:rPr>
        <w:t>Mandantin: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Restrukturierungsgericht:</w:t>
      </w:r>
      <w:r>
        <w:t xml:space="preserve"> AG Erfurt, Aktenzeichen 203 RES 7/26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08. Mai 2026</w:t>
      </w:r>
    </w:p>
    <w:p>
      <w:pPr>
        <w:jc w:val="left"/>
      </w:pPr>
      <w:r>
        <w:rPr>
          <w:b/>
        </w:rPr>
        <w:t>Verfahrensgrundlage:</w:t>
      </w:r>
      <w:r>
        <w:t xml:space="preserve"> Gesetz über den Stabilisierungs- und Restrukturierungsrahmen für</w:t>
      </w:r>
    </w:p>
    <w:p>
      <w:pPr>
        <w:jc w:val="left"/>
      </w:pPr>
      <w:r>
        <w:t>Unternehmen (StaRUG) vom 22.12.2020 (BGBl. I S. 3256)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Der vorliegende Restrukturierungsplan nach §§ 2 ff. StaRUG ist als alternatives oder</w:t>
      </w:r>
    </w:p>
    <w:p>
      <w:pPr>
        <w:jc w:val="left"/>
      </w:pPr>
      <w:r>
        <w:t>komplementäres Instrument zum Schutzschirmverfahren nach § 270d InsO erarbeitet worden.</w:t>
      </w:r>
    </w:p>
    <w:p>
      <w:pPr>
        <w:jc w:val="left"/>
      </w:pPr>
      <w:r>
        <w:t>Er richtet sich an die wesentlichen Gläubiger der Mandantin und sieht gezielte Eingriffe</w:t>
      </w:r>
    </w:p>
    <w:p>
      <w:pPr>
        <w:jc w:val="left"/>
      </w:pPr>
      <w:r>
        <w:t>in deren Forderungen vor, ohne dass ein förmliches Insolvenzverfahren eingeleitet werden muss.</w:t>
      </w:r>
    </w:p>
    <w:p>
      <w:pPr>
        <w:jc w:val="left"/>
      </w:pPr>
      <w:r>
        <w:t>Sollte der Schutzschirmantrag beim AG Erfurt (203 IN 71/26 SA) erfolgreich sein,</w:t>
      </w:r>
    </w:p>
    <w:p>
      <w:pPr>
        <w:jc w:val="left"/>
      </w:pPr>
      <w:r>
        <w:t>wird dieser StaRUG-Plan als Grundlage des Insolvenzplans verwendet. Anderenfalls kann</w:t>
      </w:r>
    </w:p>
    <w:p>
      <w:pPr>
        <w:jc w:val="left"/>
      </w:pPr>
      <w:r>
        <w:t>der StaRUG-Plan selbstständig beim Restrukturierungsgericht (AG Erfurt, 203 RES 7/26)</w:t>
      </w:r>
    </w:p>
    <w:p>
      <w:pPr>
        <w:jc w:val="left"/>
      </w:pPr>
      <w:r>
        <w:t>zur Bestätigung vorgelegt werden.</w:t>
      </w:r>
    </w:p>
    <w:p/>
    <w:p>
      <w:pPr>
        <w:pStyle w:val="Heading2"/>
      </w:pPr>
      <w:r>
        <w:rPr>
          <w:rFonts w:ascii="Times New Roman" w:hAnsi="Times New Roman"/>
        </w:rPr>
        <w:t>Teil A – Darstellender Teil (§ 6 StaRUG)</w:t>
      </w:r>
    </w:p>
    <w:p>
      <w:pPr>
        <w:pStyle w:val="Heading3"/>
      </w:pPr>
      <w:r>
        <w:rPr>
          <w:rFonts w:ascii="Times New Roman" w:hAnsi="Times New Roman"/>
        </w:rPr>
        <w:t>A.1 Lage des Unternehmens</w:t>
      </w:r>
    </w:p>
    <w:p>
      <w:pPr>
        <w:jc w:val="left"/>
      </w:pPr>
      <w:r>
        <w:rPr>
          <w:b/>
        </w:rPr>
        <w:t>Kurzdarstellung:</w:t>
      </w:r>
      <w:r>
        <w:t xml:space="preserve"> Die Großbach Druckguss &amp; Präzision GmbH &amp; Co. KG befindet sich infolge</w:t>
      </w:r>
    </w:p>
    <w:p>
      <w:pPr>
        <w:jc w:val="left"/>
      </w:pPr>
      <w:r>
        <w:t>struktureller Marktveränderungen in der Automobilindustrie sowie einer Energiekostenkrise</w:t>
      </w:r>
    </w:p>
    <w:p>
      <w:pPr>
        <w:jc w:val="left"/>
      </w:pPr>
      <w:r>
        <w:t>in einer drohenden Zahlungsunfähigkeit im Sinne des § 32 StaRUG. Die Mandantin hat gemäß</w:t>
      </w:r>
    </w:p>
    <w:p>
      <w:pPr>
        <w:jc w:val="left"/>
      </w:pPr>
      <w:r>
        <w:t>§ 31 Abs. 1 StaRUG die Restrukturierungssache beim Amtsgericht Erfurt als</w:t>
      </w:r>
    </w:p>
    <w:p>
      <w:pPr>
        <w:jc w:val="left"/>
      </w:pPr>
      <w:r>
        <w:t>Restrukturierungsgericht angezeigt (Anzeige vom 05. Mai 2026, Aktenzeichen 203 RES 7/26).</w:t>
      </w:r>
    </w:p>
    <w:p>
      <w:pPr>
        <w:jc w:val="left"/>
      </w:pPr>
      <w:r>
        <w:rPr>
          <w:b/>
        </w:rPr>
        <w:t>Drohende Zahlungsunfähigkeit (§ 32 StaRUG):</w:t>
      </w:r>
    </w:p>
    <w:p>
      <w:pPr>
        <w:jc w:val="left"/>
      </w:pPr>
      <w:r>
        <w:t>Die Planbescheinigung gemäß § 76 StaRUG liegt vor. Sie bestätigt, dass die</w:t>
      </w:r>
    </w:p>
    <w:p>
      <w:pPr>
        <w:jc w:val="left"/>
      </w:pPr>
      <w:r>
        <w:t>Restrukturierungsmaßnahmen geeignet sind, die drohende Zahlungsunfähigkeit zu beseitigen</w:t>
      </w:r>
    </w:p>
    <w:p>
      <w:pPr>
        <w:jc w:val="left"/>
      </w:pPr>
      <w:r>
        <w:t>und die Bestandsfähigkeit des Unternehmens auf Dauer herzustellen.</w:t>
      </w:r>
    </w:p>
    <w:p>
      <w:pPr>
        <w:pStyle w:val="Heading3"/>
      </w:pPr>
      <w:r>
        <w:rPr>
          <w:rFonts w:ascii="Times New Roman" w:hAnsi="Times New Roman"/>
        </w:rPr>
        <w:t>A.2 Betroffene Gläubiger und Gläubigergruppen</w:t>
      </w:r>
    </w:p>
    <w:p>
      <w:pPr>
        <w:jc w:val="left"/>
      </w:pPr>
      <w:r>
        <w:t>Gemäß §§ 7–8 StaRUG werden nur die Forderungen einbezogen, die nach dem Plankonzept</w:t>
      </w:r>
    </w:p>
    <w:p>
      <w:pPr>
        <w:jc w:val="left"/>
      </w:pPr>
      <w:r>
        <w:t>einer Änderung bedürfen. Nicht einbezogen werden Forderungen, die unstreitig und vollständig</w:t>
      </w:r>
    </w:p>
    <w:p>
      <w:pPr>
        <w:jc w:val="left"/>
      </w:pPr>
      <w:r>
        <w:t>befriedigt werden können (namentlich: Arbeitnehmer, Lieferanten mit Kleinforderungen &lt; 5.000 EUR).</w:t>
      </w:r>
    </w:p>
    <w:p>
      <w:pPr>
        <w:jc w:val="left"/>
      </w:pPr>
      <w:r>
        <w:rPr>
          <w:b/>
        </w:rPr>
        <w:t>Gruppe 1 – Gesicherte Kreditgläubiger:</w:t>
      </w:r>
    </w:p>
    <w:p>
      <w:pPr>
        <w:jc w:val="left"/>
      </w:pPr>
      <w:r>
        <w:t>Sparkasse Mittelthüringen (besicherter Kredit 4,8 Mio. EUR, Sicherheiten: Grundschuld auf</w:t>
      </w:r>
    </w:p>
    <w:p>
      <w:pPr>
        <w:jc w:val="left"/>
      </w:pPr>
      <w:r>
        <w:t>Betriebsgrundstück Erfurt, Sicherungsübereignung Maschinenpark)</w:t>
      </w:r>
    </w:p>
    <w:p>
      <w:pPr>
        <w:jc w:val="left"/>
      </w:pPr>
      <w:r>
        <w:rPr>
          <w:b/>
        </w:rPr>
        <w:t>Gruppe 2 – Großlieferanten (ungesichert):</w:t>
      </w:r>
    </w:p>
    <w:p>
      <w:pPr>
        <w:jc w:val="left"/>
      </w:pPr>
      <w:r>
        <w:t>Aluminium Stade GmbH &amp; Co. KG (890.000 EUR), Magnesium Manfred Voß KG (340.000 EUR)</w:t>
      </w:r>
    </w:p>
    <w:p>
      <w:pPr>
        <w:jc w:val="left"/>
      </w:pPr>
      <w:r>
        <w:rPr>
          <w:b/>
        </w:rPr>
        <w:t>Gruppe 3 – Öffentliche Gläubiger:</w:t>
      </w:r>
    </w:p>
    <w:p>
      <w:pPr>
        <w:jc w:val="left"/>
      </w:pPr>
      <w:r>
        <w:t>Finanzamt Erfurt (Umsatzsteuer, Körperschaftsteuer, Lohnsteuer: zusammen ca. 312.000 EUR)</w:t>
      </w:r>
    </w:p>
    <w:p>
      <w:pPr>
        <w:jc w:val="left"/>
      </w:pPr>
      <w:r>
        <w:rPr>
          <w:b/>
        </w:rPr>
        <w:t>Gruppe 4 – Gesellschafterdarlehen (nachrangig, § 39 Abs. 1 Nr. 5 InsO analog):</w:t>
      </w:r>
    </w:p>
    <w:p>
      <w:pPr>
        <w:jc w:val="left"/>
      </w:pPr>
      <w:r>
        <w:t>Friedhelm Großbach (Restdarlehen nach Teilrückzahlung: 220.000 EUR)</w:t>
      </w:r>
    </w:p>
    <w:p>
      <w:pPr>
        <w:pStyle w:val="Heading3"/>
      </w:pPr>
      <w:r>
        <w:rPr>
          <w:rFonts w:ascii="Times New Roman" w:hAnsi="Times New Roman"/>
        </w:rPr>
        <w:t>A.3 Vergleichsrechnung (§ 6 Abs. 2 StaRUG)</w:t>
      </w:r>
    </w:p>
    <w:p>
      <w:pPr>
        <w:jc w:val="left"/>
      </w:pPr>
      <w:r>
        <w:rPr>
          <w:b/>
        </w:rPr>
        <w:t>Ohne Plan (Regelinsolvenz – Zerschlagungsszenario):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Erlös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1 (Sparkasse, gesichert)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3.408.000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2 (Großlieferanten)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1.230.000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3 (Finanzamt)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12.480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4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</w:tbl>
    <w:p>
      <w:pPr>
        <w:jc w:val="left"/>
      </w:pPr>
      <w:r>
        <w:rPr>
          <w:b/>
        </w:rPr>
        <w:t>Mit Plan (Restrukturierungsszenario):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1 (Sparkasse)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Teilwandlung 2 Mio. EUR in EK; Rangrücktritt 1,6 Mio. EUR; Rückzahlung 1,2 Mio. EUR bis 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(in Form)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2 (Lieferanten)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1.230.000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25 % Verzicht; 75 % in 18 Raten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3 (Finanzamt)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 12 Monate, vollständige Rückzahlung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(zeitl. gestreckt)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Gruppe 4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Vollständiger Rangrücktritt bis 2030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 (bis 2030)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Teil B – Gestaltender Teil (§ 7 StaRUG)</w:t>
      </w:r>
    </w:p>
    <w:p>
      <w:pPr>
        <w:pStyle w:val="Heading3"/>
      </w:pPr>
      <w:r>
        <w:rPr>
          <w:rFonts w:ascii="Times New Roman" w:hAnsi="Times New Roman"/>
        </w:rPr>
        <w:t>B.1 Planregelungen für Gruppe 1 (Sparkasse Mittelthüringen)</w:t>
      </w:r>
    </w:p>
    <w:p>
      <w:pPr>
        <w:pStyle w:val="ListNumber"/>
      </w:pPr>
      <w:r>
        <w:rPr>
          <w:b/>
        </w:rPr>
        <w:t>Debt-to-Equity-Swap:</w:t>
      </w:r>
      <w:r>
        <w:t xml:space="preserve"> Die Sparkasse wandelt eine Teilforderung von 2.000.000 EUR in eine</w:t>
      </w:r>
    </w:p>
    <w:p>
      <w:pPr>
        <w:jc w:val="left"/>
      </w:pPr>
      <w:r>
        <w:t>stille Beteiligung an der KG um. Die stille Beteiligung ist ab 2030 rückkaufbar zum</w:t>
      </w:r>
    </w:p>
    <w:p>
      <w:pPr>
        <w:jc w:val="left"/>
      </w:pPr>
      <w:r>
        <w:t>Nominalwert zzgl. 3 % p.a. Verzinsung.</w:t>
      </w:r>
    </w:p>
    <w:p>
      <w:pPr>
        <w:pStyle w:val="ListNumber"/>
      </w:pPr>
      <w:r>
        <w:rPr>
          <w:b/>
        </w:rPr>
        <w:t>Rangrücktritt:</w:t>
      </w:r>
      <w:r>
        <w:t xml:space="preserve"> Die verbleibende Forderung von 1.600.000 EUR tritt im Rang hinter alle</w:t>
      </w:r>
    </w:p>
    <w:p>
      <w:pPr>
        <w:jc w:val="left"/>
      </w:pPr>
      <w:r>
        <w:t>übrigen Gläubiger zurück bis zum 31.12.2029.</w:t>
      </w:r>
    </w:p>
    <w:p>
      <w:pPr>
        <w:pStyle w:val="ListNumber"/>
      </w:pPr>
      <w:r>
        <w:rPr>
          <w:b/>
        </w:rPr>
        <w:t>Planmäßige Tilgung:</w:t>
      </w:r>
      <w:r>
        <w:t xml:space="preserve"> Die verbleibende gesicherte Restforderung von 1.200.000 EUR wird</w:t>
      </w:r>
    </w:p>
    <w:p>
      <w:pPr>
        <w:jc w:val="left"/>
      </w:pPr>
      <w:r>
        <w:t>in vier Jahresraten zu je 300.000 EUR getilgt (2027–2030).</w:t>
      </w:r>
    </w:p>
    <w:p>
      <w:pPr>
        <w:pStyle w:val="ListNumber"/>
      </w:pPr>
      <w:r>
        <w:rPr>
          <w:b/>
        </w:rPr>
        <w:t>Zinsen:</w:t>
      </w:r>
      <w:r>
        <w:t xml:space="preserve"> Während der Planphase (2026–2028) werden Zinsen auf die gesicherte Restforderung</w:t>
      </w:r>
    </w:p>
    <w:p>
      <w:pPr>
        <w:jc w:val="left"/>
      </w:pPr>
      <w:r>
        <w:t>auf 1,5 % p.a. reduziert.</w:t>
      </w:r>
    </w:p>
    <w:p>
      <w:pPr>
        <w:pStyle w:val="Heading3"/>
      </w:pPr>
      <w:r>
        <w:rPr>
          <w:rFonts w:ascii="Times New Roman" w:hAnsi="Times New Roman"/>
        </w:rPr>
        <w:t>B.2 Planregelungen für Gruppe 2 (Großlieferanten)</w:t>
      </w:r>
    </w:p>
    <w:p>
      <w:pPr>
        <w:pStyle w:val="ListNumber"/>
      </w:pPr>
      <w:r>
        <w:rPr>
          <w:b/>
        </w:rPr>
        <w:t>Aluminium Stade:</w:t>
      </w:r>
      <w:r>
        <w:t xml:space="preserve"> Forderungsverzicht auf 25 % der Hauptforderung (222.500 EUR);</w:t>
      </w:r>
    </w:p>
    <w:p>
      <w:pPr>
        <w:jc w:val="left"/>
      </w:pPr>
      <w:r>
        <w:t>verbleibende 667.500 EUR in 18 monatlichen Raten ab 01.07.2026; keine Zinsen in Planphase.</w:t>
      </w:r>
    </w:p>
    <w:p>
      <w:pPr>
        <w:pStyle w:val="ListNumber"/>
      </w:pPr>
      <w:r>
        <w:rPr>
          <w:b/>
        </w:rPr>
        <w:t>Magnesium Voß:</w:t>
      </w:r>
      <w:r>
        <w:t xml:space="preserve"> Forderungsverzicht auf 20 % (68.000 EUR); verbleibende 272.000 EUR in</w:t>
      </w:r>
    </w:p>
    <w:p>
      <w:pPr>
        <w:jc w:val="left"/>
      </w:pPr>
      <w:r>
        <w:t>12 monatlichen Raten ab 01.07.2026; keine Zinsen.</w:t>
      </w:r>
    </w:p>
    <w:p>
      <w:pPr>
        <w:pStyle w:val="Heading3"/>
      </w:pPr>
      <w:r>
        <w:rPr>
          <w:rFonts w:ascii="Times New Roman" w:hAnsi="Times New Roman"/>
        </w:rPr>
        <w:t>B.3 Planregelungen für Gruppe 3 (Finanzamt Erfurt)</w:t>
      </w:r>
    </w:p>
    <w:p>
      <w:pPr>
        <w:jc w:val="left"/>
      </w:pPr>
      <w:r>
        <w:t>Stundung der gesamten Steuerrückstände (312.000 EUR) für 12 Monate ab 01.06.2026;</w:t>
      </w:r>
    </w:p>
    <w:p>
      <w:pPr>
        <w:jc w:val="left"/>
      </w:pPr>
      <w:r>
        <w:t>anschließend vollständige Rückzahlung in zwölf Monatsraten.</w:t>
      </w:r>
    </w:p>
    <w:p>
      <w:pPr>
        <w:pStyle w:val="Heading3"/>
      </w:pPr>
      <w:r>
        <w:rPr>
          <w:rFonts w:ascii="Times New Roman" w:hAnsi="Times New Roman"/>
        </w:rPr>
        <w:t>B.4 Planregelungen für Gruppe 4 (Gesellschafterdarlehen Friedhelm Großbach)</w:t>
      </w:r>
    </w:p>
    <w:p>
      <w:pPr>
        <w:jc w:val="left"/>
      </w:pPr>
      <w:r>
        <w:t>Vollständiger Rangrücktritt des Restdarlehens (220.000 EUR) bis zum 31.12.2030. Im</w:t>
      </w:r>
    </w:p>
    <w:p>
      <w:pPr>
        <w:jc w:val="left"/>
      </w:pPr>
      <w:r>
        <w:t>Gegenzug verzichtet die Masse auf etwaige Anfechtungsansprüche hinsichtlich der</w:t>
      </w:r>
    </w:p>
    <w:p>
      <w:pPr>
        <w:jc w:val="left"/>
      </w:pPr>
      <w:r>
        <w:t>Darlehenstilgung vom 18.01.2026, soweit kein Vorsatz nachgewiesen wird (Vergleichs-</w:t>
      </w:r>
    </w:p>
    <w:p>
      <w:pPr>
        <w:jc w:val="left"/>
      </w:pPr>
      <w:r>
        <w:t>lösung, vorbehaltlich Zustimmung des Sachwalters).</w:t>
      </w:r>
    </w:p>
    <w:p/>
    <w:p>
      <w:pPr>
        <w:pStyle w:val="Heading2"/>
      </w:pPr>
      <w:r>
        <w:rPr>
          <w:rFonts w:ascii="Times New Roman" w:hAnsi="Times New Roman"/>
        </w:rPr>
        <w:t>Teil C – Anlagen zum Restrukturierungsplan</w:t>
      </w:r>
    </w:p>
    <w:p>
      <w:pPr>
        <w:pStyle w:val="ListNumber"/>
      </w:pPr>
      <w:r>
        <w:t>Anlage 1: Integrierter Finanzplan 2026–2030 (GuV, Bilanz, Cashflow)</w:t>
      </w:r>
    </w:p>
    <w:p>
      <w:pPr>
        <w:pStyle w:val="ListNumber"/>
      </w:pPr>
      <w:r>
        <w:t>Anlage 2: 13-Wochen-Liquiditätsplan (vgl. xlsx/liquiditaetsplan_13wochen.xlsx)</w:t>
      </w:r>
    </w:p>
    <w:p>
      <w:pPr>
        <w:pStyle w:val="ListNumber"/>
      </w:pPr>
      <w:r>
        <w:t>Anlage 3: Planbescheinigung RA Dr. Drosselberg gemäß § 76 StaRUG</w:t>
      </w:r>
    </w:p>
    <w:p>
      <w:pPr>
        <w:pStyle w:val="ListNumber"/>
      </w:pPr>
      <w:r>
        <w:t>Anlage 4: Gesellschafterbeschluss (Zustimmung Kommanditisten zur Planeinreichung)</w:t>
      </w:r>
    </w:p>
    <w:p>
      <w:pPr>
        <w:pStyle w:val="ListNumber"/>
      </w:pPr>
      <w:r>
        <w:t>Anlage 5: IDW-S-6-Gutachten-Auszug (vgl. Aktenstück 04)</w:t>
      </w:r>
    </w:p>
    <w:p>
      <w:pPr>
        <w:pStyle w:val="ListNumber"/>
      </w:pPr>
      <w:r>
        <w:t>Anlage 6: Unternehmensbewertung (Ertragswertmethode, vereinfacht)</w:t>
      </w:r>
    </w:p>
    <w:p/>
    <w:p>
      <w:pPr>
        <w:pStyle w:val="Heading2"/>
      </w:pPr>
      <w:r>
        <w:rPr>
          <w:rFonts w:ascii="Times New Roman" w:hAnsi="Times New Roman"/>
        </w:rPr>
        <w:t>Teil D – Planauszug – Abstimmungsverfahren (§§ 24–26 StaRUG)</w:t>
      </w:r>
    </w:p>
    <w:p>
      <w:pPr>
        <w:jc w:val="left"/>
      </w:pPr>
      <w:r>
        <w:t>Das Abstimmungsverfahren über den Restrukturierungsplan soll als **Erörterungs- und</w:t>
      </w:r>
    </w:p>
    <w:p>
      <w:pPr>
        <w:jc w:val="left"/>
      </w:pPr>
      <w:r>
        <w:t>Abstimmungstermin** vor dem Restrukturierungsgericht AG Erfurt (203 RES 7/26) stattfinden.</w:t>
      </w:r>
    </w:p>
    <w:p>
      <w:pPr>
        <w:jc w:val="left"/>
      </w:pPr>
      <w:r>
        <w:rPr>
          <w:b/>
        </w:rPr>
        <w:t>Geplanter Termin:</w:t>
      </w:r>
      <w:r>
        <w:t xml:space="preserve"> 15. Juli 2026, 10:00 Uhr, AG Erfurt, Saal 214</w:t>
      </w:r>
    </w:p>
    <w:p>
      <w:pPr>
        <w:jc w:val="left"/>
      </w:pPr>
      <w:r>
        <w:rPr>
          <w:b/>
        </w:rPr>
        <w:t>Erforderliche Mehrheiten (§ 25 StaRUG):</w:t>
      </w:r>
    </w:p>
    <w:p>
      <w:pPr>
        <w:jc w:val="left"/>
      </w:pPr>
      <w:r>
        <w:t>Jede Gruppe stimmt gesondert ab. Innerhalb jeder Gruppe: Mehrheit der Stimmrechte</w:t>
      </w:r>
    </w:p>
    <w:p>
      <w:pPr>
        <w:jc w:val="left"/>
      </w:pPr>
      <w:r>
        <w:t>(kopfmäßig) UND Summe der zustimmenden Forderungen &gt; 75 % der Gesamtforderungen der Gruppe.</w:t>
      </w:r>
    </w:p>
    <w:p>
      <w:pPr>
        <w:jc w:val="left"/>
      </w:pPr>
      <w:r>
        <w:rPr>
          <w:b/>
        </w:rPr>
        <w:t>Cross-Class Cram-Down (§ 26 StaRUG):</w:t>
      </w:r>
    </w:p>
    <w:p>
      <w:pPr>
        <w:jc w:val="left"/>
      </w:pPr>
      <w:r>
        <w:t>Falls eine Gruppe nicht zustimmt (insbesondere Magnesium Voß), kann das Gericht den</w:t>
      </w:r>
    </w:p>
    <w:p>
      <w:pPr>
        <w:jc w:val="left"/>
      </w:pPr>
      <w:r>
        <w:t>Plan auf Antrag bestätigen, sofern die ablehnende Gruppe durch den Plan nicht schlechter</w:t>
      </w:r>
    </w:p>
    <w:p>
      <w:pPr>
        <w:jc w:val="left"/>
      </w:pPr>
      <w:r>
        <w:t>gestellt wird als ohne Plan (kein-schlechter-Stellen-Grundsatz) und die Mehrheit der</w:t>
      </w:r>
    </w:p>
    <w:p>
      <w:pPr>
        <w:jc w:val="left"/>
      </w:pPr>
      <w:r>
        <w:t>Gruppen zugestimmt hat.</w:t>
      </w:r>
    </w:p>
    <w:p/>
    <w:p>
      <w:pPr>
        <w:jc w:val="left"/>
      </w:pPr>
      <w:r>
        <w:rPr>
          <w:i/>
        </w:rPr>
        <w:t>Bearbeiter: RA Dr. Maximilian Drosselberg</w:t>
      </w:r>
    </w:p>
    <w:p>
      <w:pPr>
        <w:jc w:val="left"/>
      </w:pPr>
      <w:r>
        <w:rPr>
          <w:i/>
        </w:rPr>
        <w:t>Drosselberg &amp; Partner Insolvenzrecht, Juri-Gagarin-Ring 55, 99084 Erfurt</w:t>
      </w:r>
    </w:p>
    <w:p>
      <w:pPr>
        <w:jc w:val="left"/>
      </w:pPr>
      <w:r>
        <w:rPr>
          <w:i/>
        </w:rPr>
        <w:t>8. Mai 2026 – Entwurf – Noch nicht eingereicht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