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– Gläubigerverhandlung – Notizen und Strategie</w:t>
      </w:r>
    </w:p>
    <w:p>
      <w:pPr>
        <w:jc w:val="left"/>
      </w:pPr>
      <w:r>
        <w:rPr>
          <w:b/>
        </w:rPr>
        <w:t>Bearbeiter:</w:t>
      </w:r>
      <w:r>
        <w:t xml:space="preserve"> RA Dr. Maximilian Drosselberg / RAin Claudia Feuerbach</w:t>
      </w:r>
    </w:p>
    <w:p>
      <w:pPr>
        <w:jc w:val="left"/>
      </w:pPr>
      <w:r>
        <w:rPr>
          <w:b/>
        </w:rPr>
        <w:t>Datum:</w:t>
      </w:r>
      <w:r>
        <w:t xml:space="preserve"> 12. Mai 2026</w:t>
      </w:r>
    </w:p>
    <w:p>
      <w:pPr>
        <w:jc w:val="left"/>
      </w:pPr>
      <w:r>
        <w:rPr>
          <w:b/>
        </w:rPr>
        <w:t>Klassifizierung:</w:t>
      </w:r>
      <w:r>
        <w:t xml:space="preserve"> Intern – Anwaltlich privilegiert</w:t>
      </w:r>
    </w:p>
    <w:p/>
    <w:p>
      <w:pPr>
        <w:pStyle w:val="Heading2"/>
      </w:pPr>
      <w:r>
        <w:rPr>
          <w:rFonts w:ascii="Times New Roman" w:hAnsi="Times New Roman"/>
        </w:rPr>
        <w:t>1. Überblick Gläubigerstruktur</w:t>
      </w:r>
    </w:p>
    <w:p>
      <w:pPr>
        <w:pStyle w:val="Heading3"/>
      </w:pPr>
      <w:r>
        <w:rPr>
          <w:rFonts w:ascii="Times New Roman" w:hAnsi="Times New Roman"/>
        </w:rPr>
        <w:t>1.1 Gesicherte Gläubiger</w:t>
      </w:r>
    </w:p>
    <w:p>
      <w:pPr>
        <w:jc w:val="left"/>
      </w:pPr>
      <w:r>
        <w:rPr>
          <w:b/>
        </w:rPr>
        <w:t>Sparkasse Mittelthüringen</w:t>
      </w:r>
      <w:r>
        <w:t xml:space="preserve"> (Hauptgläubigerin)</w:t>
      </w:r>
    </w:p>
    <w:p>
      <w:pPr>
        <w:pStyle w:val="ListBullet"/>
      </w:pPr>
      <w:r>
        <w:t>Gesamtforderung: 4.800.000 EUR</w:t>
      </w:r>
    </w:p>
    <w:p>
      <w:pPr>
        <w:pStyle w:val="ListBullet"/>
      </w:pPr>
      <w:r>
        <w:t>Sicherheiten: Grundschuld Betriebsgrundstück Erfurt (Wert: ca. 3,2 Mio. EUR nach</w:t>
      </w:r>
    </w:p>
    <w:p>
      <w:pPr>
        <w:jc w:val="left"/>
      </w:pPr>
      <w:r>
        <w:t>Gutachten), Sicherungsübereignung Maschinenpark (Wert: ca. 1,8 Mio. EUR), Bürgschaft</w:t>
      </w:r>
    </w:p>
    <w:p>
      <w:pPr>
        <w:jc w:val="left"/>
      </w:pPr>
      <w:r>
        <w:t>Friedhelm Großbach (persönlich, max. 1,5 Mio. EUR)</w:t>
      </w:r>
    </w:p>
    <w:p>
      <w:pPr>
        <w:pStyle w:val="ListBullet"/>
      </w:pPr>
      <w:r>
        <w:t>Ansprechpartner: Herr Hendrik Krause, Firmenkundenbetreuer Mittelthüringen</w:t>
      </w:r>
    </w:p>
    <w:p>
      <w:pPr>
        <w:pStyle w:val="ListBullet"/>
      </w:pPr>
      <w:r>
        <w:t>Vorläufige Haltung: Abwartend; Schreiben vom 15.04.2026 zeigt Bereitschaft zur</w:t>
      </w:r>
    </w:p>
    <w:p>
      <w:pPr>
        <w:jc w:val="left"/>
      </w:pPr>
      <w:r>
        <w:t>Verhandlung, aber Forderung nach Vorlage eines Sanierungskonzepts bis 15.05.2026</w:t>
      </w:r>
    </w:p>
    <w:p>
      <w:pPr>
        <w:pStyle w:val="Heading3"/>
      </w:pPr>
      <w:r>
        <w:rPr>
          <w:rFonts w:ascii="Times New Roman" w:hAnsi="Times New Roman"/>
        </w:rPr>
        <w:t>1.2 Ungesicherte Großgläubiger</w:t>
      </w:r>
    </w:p>
    <w:p>
      <w:pPr>
        <w:jc w:val="left"/>
      </w:pPr>
      <w:r>
        <w:rPr>
          <w:b/>
        </w:rPr>
        <w:t>Aluminium Stade GmbH &amp; Co. KG</w:t>
      </w:r>
      <w:r>
        <w:t xml:space="preserve"> (Rohstofflieferant)</w:t>
      </w:r>
    </w:p>
    <w:p>
      <w:pPr>
        <w:pStyle w:val="ListBullet"/>
      </w:pPr>
      <w:r>
        <w:t>Gesamtforderung: 890.000 EUR (47 Tage überfällig)</w:t>
      </w:r>
    </w:p>
    <w:p>
      <w:pPr>
        <w:pStyle w:val="ListBullet"/>
      </w:pPr>
      <w:r>
        <w:t>Rechtliche Vertretung: RA Christian Lauterbach, Hamburg</w:t>
      </w:r>
    </w:p>
    <w:p>
      <w:pPr>
        <w:pStyle w:val="ListBullet"/>
      </w:pPr>
      <w:r>
        <w:t>Haltung: Kooperationsbereit unter Bedingungen (Ratenzahlung), hat aber angedroht, bei</w:t>
      </w:r>
    </w:p>
    <w:p>
      <w:pPr>
        <w:jc w:val="left"/>
      </w:pPr>
      <w:r>
        <w:t>Scheitern der Gespräche einen Insolvenzantrag zu erwägen</w:t>
      </w:r>
    </w:p>
    <w:p>
      <w:pPr>
        <w:pStyle w:val="ListBullet"/>
      </w:pPr>
      <w:r>
        <w:t>Wichtig: Aluminium Stade ist strategisch wichtig als Hauptlieferant; ein Lieferausfall</w:t>
      </w:r>
    </w:p>
    <w:p>
      <w:pPr>
        <w:jc w:val="left"/>
      </w:pPr>
      <w:r>
        <w:t>würde die Produktion sofort zum Erliegen bringen</w:t>
      </w:r>
    </w:p>
    <w:p>
      <w:pPr>
        <w:jc w:val="left"/>
      </w:pPr>
      <w:r>
        <w:rPr>
          <w:b/>
        </w:rPr>
        <w:t>Magnesium Manfred Voß KG</w:t>
      </w:r>
      <w:r>
        <w:t xml:space="preserve"> (Rohstofflieferant)</w:t>
      </w:r>
    </w:p>
    <w:p>
      <w:pPr>
        <w:pStyle w:val="ListBullet"/>
      </w:pPr>
      <w:r>
        <w:t>Gesamtforderung: 340.000 EUR (61 Tage überfällig)</w:t>
      </w:r>
    </w:p>
    <w:p>
      <w:pPr>
        <w:pStyle w:val="ListBullet"/>
      </w:pPr>
      <w:r>
        <w:t>Keine anwaltliche Vertretung (Inhaber Manfred Voß handelt selbst)</w:t>
      </w:r>
    </w:p>
    <w:p>
      <w:pPr>
        <w:pStyle w:val="ListBullet"/>
      </w:pPr>
      <w:r>
        <w:t>Haltung: Aggressiv; hat Gläubigerantrag gem. § 14 InsO schriftlich angedroht</w:t>
      </w:r>
    </w:p>
    <w:p>
      <w:pPr>
        <w:jc w:val="left"/>
      </w:pPr>
      <w:r>
        <w:t>(vgl. Aktenstück 12); keine Stundungsbereitschaft erkennbar</w:t>
      </w:r>
    </w:p>
    <w:p>
      <w:pPr>
        <w:pStyle w:val="ListBullet"/>
      </w:pPr>
      <w:r>
        <w:t>Risikobewertung: HOCH (Antragsgefahr)</w:t>
      </w:r>
    </w:p>
    <w:p>
      <w:pPr>
        <w:jc w:val="left"/>
      </w:pPr>
      <w:r>
        <w:rPr>
          <w:b/>
        </w:rPr>
        <w:t>Finanzamt Erfurt</w:t>
      </w:r>
    </w:p>
    <w:p>
      <w:pPr>
        <w:pStyle w:val="ListBullet"/>
      </w:pPr>
      <w:r>
        <w:t>Gesamtforderung: ca. 312.000 EUR (Umsatzsteuer Q4/2025, Körperschaftsteuer 2024,</w:t>
      </w:r>
    </w:p>
    <w:p>
      <w:pPr>
        <w:jc w:val="left"/>
      </w:pPr>
      <w:r>
        <w:t>Lohnsteuer März–April 2026)</w:t>
      </w:r>
    </w:p>
    <w:p>
      <w:pPr>
        <w:pStyle w:val="ListBullet"/>
      </w:pPr>
      <w:r>
        <w:t>Ansprechpartner: RR Stefan Neubauer, Sachgebiet Vollstreckung</w:t>
      </w:r>
    </w:p>
    <w:p>
      <w:pPr>
        <w:pStyle w:val="ListBullet"/>
      </w:pPr>
      <w:r>
        <w:t>Haltung: Grundsätzlich zur Stundung bereit, wenn Nachweis Sanierungskonzept; keine</w:t>
      </w:r>
    </w:p>
    <w:p>
      <w:pPr>
        <w:jc w:val="left"/>
      </w:pPr>
      <w:r>
        <w:t>Verzichtsmöglichkeit (öffentlich-rechtliche Bindung), aber Stundung bis 24 Monate möglich</w:t>
      </w:r>
    </w:p>
    <w:p/>
    <w:p>
      <w:pPr>
        <w:pStyle w:val="Heading2"/>
      </w:pPr>
      <w:r>
        <w:rPr>
          <w:rFonts w:ascii="Times New Roman" w:hAnsi="Times New Roman"/>
        </w:rPr>
        <w:t>2. Verhandlungsstrategie</w:t>
      </w:r>
    </w:p>
    <w:p>
      <w:pPr>
        <w:pStyle w:val="Heading3"/>
      </w:pPr>
      <w:r>
        <w:rPr>
          <w:rFonts w:ascii="Times New Roman" w:hAnsi="Times New Roman"/>
        </w:rPr>
        <w:t>2.1 Grundprinzipien</w:t>
      </w:r>
    </w:p>
    <w:p>
      <w:pPr>
        <w:jc w:val="left"/>
      </w:pPr>
      <w:r>
        <w:t>Dr. Drosselberg hat folgende Verhandlungsstrategie erarbeitet:</w:t>
      </w:r>
    </w:p>
    <w:p>
      <w:pPr>
        <w:jc w:val="left"/>
      </w:pPr>
      <w:r>
        <w:rPr>
          <w:b/>
        </w:rPr>
        <w:t>Sequenzierung:</w:t>
      </w:r>
      <w:r>
        <w:t xml:space="preserve"> Sparkasse zuerst (größter Gläubiger, entscheidend für Plan-Finanzierung),</w:t>
      </w:r>
    </w:p>
    <w:p>
      <w:pPr>
        <w:jc w:val="left"/>
      </w:pPr>
      <w:r>
        <w:t>danach Aluminium Stade (strategisch wichtig), danach Finanzamt (unkritischer, da keine</w:t>
      </w:r>
    </w:p>
    <w:p>
      <w:pPr>
        <w:jc w:val="left"/>
      </w:pPr>
      <w:r>
        <w:t>Insolvenzantragsberechtigung gemäß § 14 InsO analog), zuletzt Magnesium Voß (aggressiv,</w:t>
      </w:r>
    </w:p>
    <w:p>
      <w:pPr>
        <w:jc w:val="left"/>
      </w:pPr>
      <w:r>
        <w:t>aber wirtschaftlich am wenigsten bedeutsam).</w:t>
      </w:r>
    </w:p>
    <w:p>
      <w:pPr>
        <w:jc w:val="left"/>
      </w:pPr>
      <w:r>
        <w:rPr>
          <w:b/>
        </w:rPr>
        <w:t>Verhandlungsrahmen:</w:t>
      </w:r>
      <w:r>
        <w:t xml:space="preserve"> Das Ziel der vollständigen Gläubigerbefriedigung im Sinne der</w:t>
      </w:r>
    </w:p>
    <w:p>
      <w:pPr>
        <w:jc w:val="left"/>
      </w:pPr>
      <w:r>
        <w:t>Regelinsolvenz (Quote ca. 4 %) wird dem Verhandlungsrahmen gegenübergestellt: Im Planverfahren</w:t>
      </w:r>
    </w:p>
    <w:p>
      <w:pPr>
        <w:jc w:val="left"/>
      </w:pPr>
      <w:r>
        <w:t>erhalten alle Gläubiger mehr als in der Liquidation.</w:t>
      </w:r>
    </w:p>
    <w:p>
      <w:pPr>
        <w:jc w:val="left"/>
      </w:pPr>
      <w:r>
        <w:rPr>
          <w:b/>
        </w:rPr>
        <w:t>BATNA (Best Alternative to Negotiated Agreement):</w:t>
      </w:r>
    </w:p>
    <w:p>
      <w:pPr>
        <w:pStyle w:val="ListBullet"/>
      </w:pPr>
      <w:r>
        <w:t>Für Sparkasse: Zwangsversteigerung Betriebsgrundstück und Sicherheitsverwertung → Erlös</w:t>
      </w:r>
    </w:p>
    <w:p>
      <w:pPr>
        <w:jc w:val="left"/>
      </w:pPr>
      <w:r>
        <w:t>geschätzt 3,2–3,8 Mio. EUR bei Zeitkosten; ein Debt-to-Equity-Swap ermöglicht 100 % Rückfluss</w:t>
      </w:r>
    </w:p>
    <w:p>
      <w:pPr>
        <w:pStyle w:val="ListBullet"/>
      </w:pPr>
      <w:r>
        <w:t>Für Aluminium Stade: 4 % Insolvenzquote vs. 75 % im Plan – klare Überlegenheit des Plans</w:t>
      </w:r>
    </w:p>
    <w:p>
      <w:pPr>
        <w:pStyle w:val="ListBullet"/>
      </w:pPr>
      <w:r>
        <w:t>Für Magnesium Voß: 4 % Insolvenzquote vs. 80 % im Plan</w:t>
      </w:r>
    </w:p>
    <w:p>
      <w:pPr>
        <w:pStyle w:val="ListBullet"/>
      </w:pPr>
      <w:r>
        <w:t>Für Finanzamt: Vollständige Rückzahlung (gestreckt) vs. Teilausfall</w:t>
      </w:r>
    </w:p>
    <w:p>
      <w:pPr>
        <w:pStyle w:val="Heading3"/>
      </w:pPr>
      <w:r>
        <w:rPr>
          <w:rFonts w:ascii="Times New Roman" w:hAnsi="Times New Roman"/>
        </w:rPr>
        <w:t>2.2 Verhandlungsangebote nach Gläubiger</w:t>
      </w:r>
    </w:p>
    <w:p>
      <w:pPr>
        <w:jc w:val="left"/>
      </w:pPr>
      <w:r>
        <w:rPr>
          <w:b/>
        </w:rPr>
        <w:t>Sparkasse Mittelthüringen:</w:t>
      </w:r>
    </w:p>
    <w:p>
      <w:pPr>
        <w:pStyle w:val="ListBullet"/>
      </w:pPr>
      <w:r>
        <w:t>Angebot 1 (Maximalziel): Debt-to-Equity-Swap 2 Mio. EUR; Rangrücktritt 1,6 Mio. EUR;</w:t>
      </w:r>
    </w:p>
    <w:p>
      <w:pPr>
        <w:jc w:val="left"/>
      </w:pPr>
      <w:r>
        <w:t>Rückzahlung 1,2 Mio. EUR in 4 Jahresraten; Zinssatz: 1,5 % p.a. auf gesicherten Rest</w:t>
      </w:r>
    </w:p>
    <w:p>
      <w:pPr>
        <w:pStyle w:val="ListBullet"/>
      </w:pPr>
      <w:r>
        <w:t>Angebot 2 (Mindest): Kein DtE-Swap; Rangrücktritt 2,8 Mio. EUR; Rückzahlung 2,0 Mio. EUR</w:t>
      </w:r>
    </w:p>
    <w:p>
      <w:pPr>
        <w:jc w:val="left"/>
      </w:pPr>
      <w:r>
        <w:t>in 4 Jahresraten; Zinssatz: 2,5 % auf gesicherten Rest</w:t>
      </w:r>
    </w:p>
    <w:p>
      <w:pPr>
        <w:pStyle w:val="ListBullet"/>
      </w:pPr>
      <w:r>
        <w:t>Rote Linie: Keine Rückzahlung &gt; 2,0 Mio. EUR innerhalb von 48 Monaten</w:t>
      </w:r>
    </w:p>
    <w:p>
      <w:pPr>
        <w:jc w:val="left"/>
      </w:pPr>
      <w:r>
        <w:rPr>
          <w:b/>
        </w:rPr>
        <w:t>Aluminium Stade:</w:t>
      </w:r>
    </w:p>
    <w:p>
      <w:pPr>
        <w:pStyle w:val="ListBullet"/>
      </w:pPr>
      <w:r>
        <w:t>Angebot 1: 30 % Verzicht, 70 % in 24 Monatsraten, Liefervertrag verlängern auf 3 Jahre</w:t>
      </w:r>
    </w:p>
    <w:p>
      <w:pPr>
        <w:pStyle w:val="ListBullet"/>
      </w:pPr>
      <w:r>
        <w:t>Angebot 2: 20 % Verzicht, 80 % in 18 Monatsraten</w:t>
      </w:r>
    </w:p>
    <w:p>
      <w:pPr>
        <w:pStyle w:val="ListBullet"/>
      </w:pPr>
      <w:r>
        <w:t>Argument: Aluminium Stade bleibt Hauptlieferant und sichert so das laufende Geschäft</w:t>
      </w:r>
    </w:p>
    <w:p>
      <w:pPr>
        <w:jc w:val="left"/>
      </w:pPr>
      <w:r>
        <w:rPr>
          <w:b/>
        </w:rPr>
        <w:t>Magnesium Voß:</w:t>
      </w:r>
    </w:p>
    <w:p>
      <w:pPr>
        <w:pStyle w:val="ListBullet"/>
      </w:pPr>
      <w:r>
        <w:t>Angebot 1: 25 % Verzicht, 75 % in 12 Monatsraten + Einkaufsgarantie 2026/2027</w:t>
      </w:r>
    </w:p>
    <w:p>
      <w:pPr>
        <w:pStyle w:val="ListBullet"/>
      </w:pPr>
      <w:r>
        <w:t>Angebot 2: 100 % Rückzahlung in 6 Monatsraten (mit Vorauszahlung 100 TEUR sofort aus</w:t>
      </w:r>
    </w:p>
    <w:p>
      <w:pPr>
        <w:jc w:val="left"/>
      </w:pPr>
      <w:r>
        <w:t>der Insolvenzgeldmasse)</w:t>
      </w:r>
    </w:p>
    <w:p>
      <w:pPr>
        <w:pStyle w:val="ListBullet"/>
      </w:pPr>
      <w:r>
        <w:t>Taktik: Zuerst rechtliche Beratung anbieten (Voß hat keinen Anwalt), auf Risiken des</w:t>
      </w:r>
    </w:p>
    <w:p>
      <w:pPr>
        <w:jc w:val="left"/>
      </w:pPr>
      <w:r>
        <w:t>Gläubigerantrags hinweisen (Kosten, Haftungsrisiko bei Schädigung Masse)</w:t>
      </w:r>
    </w:p>
    <w:p>
      <w:pPr>
        <w:jc w:val="left"/>
      </w:pPr>
      <w:r>
        <w:rPr>
          <w:b/>
        </w:rPr>
        <w:t>Finanzamt Erfurt:</w:t>
      </w:r>
    </w:p>
    <w:p>
      <w:pPr>
        <w:pStyle w:val="ListBullet"/>
      </w:pPr>
      <w:r>
        <w:t>Stundungsantrag gemäß § 222 AO: 12 Monate Stundung, dann 12 Monatsraten</w:t>
      </w:r>
    </w:p>
    <w:p>
      <w:pPr>
        <w:pStyle w:val="ListBullet"/>
      </w:pPr>
      <w:r>
        <w:t>Anlage: Bestätigung Kanzlei, dass Sanierungsverfahren läuft</w:t>
      </w:r>
    </w:p>
    <w:p>
      <w:pPr>
        <w:pStyle w:val="ListBullet"/>
      </w:pPr>
      <w:r>
        <w:t>Rote Linie: Verzicht unmöglich (Haushaltsrecht); Stundung max. 24 Monate</w:t>
      </w:r>
    </w:p>
    <w:p/>
    <w:p>
      <w:pPr>
        <w:pStyle w:val="Heading2"/>
      </w:pPr>
      <w:r>
        <w:rPr>
          <w:rFonts w:ascii="Times New Roman" w:hAnsi="Times New Roman"/>
        </w:rPr>
        <w:t>3. Verhandlungsstand (per 12.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Mittelthüringen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Konstruktives Erstgespräch; Sparkasse fordert Vorlage IDW S 6 bis 15.05.2026; grundsätzlich offen für Stundung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Aluminium Stade / RA Lauterbach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14.05.2026 (geplant)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kein Termin 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Abwartend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Magnesium Voß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Voß lehnte Termin ab; Drohung bekräftigt; Brief an AG Erfurt angekündigt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Stundungsantrag eingereicht; Antwort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Risikomatrix Gläubigerverhandlungen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Impact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Magnesium Voß stellt Insolvenzantrag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(60 %)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Sofortige Einreichung Schutzschirmantrag; damit wird Gläubigerantrag gegenstandslos (§ 270d Abs. 4 InsO)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kündigt gesamte 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(30 %)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Angebot DtE-Swap als „Einstiegsoption" einbringen; Bürgschaft Friedhelm Großbach aktivieren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Aluminium Stade stoppt Lieferungen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 (20 %)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Alternativer Lieferant (Aluminium Weser KG, Kiel) vorqualifiziert; Lieferstopp würde Insolvenzgeld-Effekt kompensieren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lehnt Stundung ab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niedrig (5 %)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Anfechtung der Stundungsablehnung beim Finanzgericht Erfurt; einstweiliger Rechtsschutz</w:t>
            </w:r>
          </w:p>
        </w:tc>
      </w:tr>
    </w:tbl>
    <w:p/>
    <w:p>
      <w:pPr>
        <w:jc w:val="left"/>
      </w:pPr>
      <w:r>
        <w:rPr>
          <w:i/>
        </w:rPr>
        <w:t>Interne Verhandlungsnotiz – Drosselberg &amp; Partner Insolvenzrecht, Erfurt</w:t>
      </w:r>
    </w:p>
    <w:p>
      <w:pPr>
        <w:jc w:val="left"/>
      </w:pPr>
      <w:r>
        <w:rPr>
          <w:i/>
        </w:rPr>
        <w:t>12. Mai 2026 – Nicht zur Weitergabe an Gläubiger bestimmt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