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– Strategie-Memorandum</w:t>
      </w:r>
    </w:p>
    <w:p>
      <w:pPr>
        <w:jc w:val="left"/>
      </w:pPr>
      <w:r>
        <w:rPr>
          <w:b/>
        </w:rPr>
        <w:t>An:</w:t>
      </w:r>
      <w:r>
        <w:t xml:space="preserve"> Friedhelm Großbach, Bertha Großbach-Riemenschneider</w:t>
      </w:r>
    </w:p>
    <w:p>
      <w:pPr>
        <w:jc w:val="left"/>
      </w:pPr>
      <w:r>
        <w:rPr>
          <w:b/>
        </w:rPr>
        <w:t>Von: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28. Mai 2026</w:t>
      </w:r>
    </w:p>
    <w:p>
      <w:pPr>
        <w:jc w:val="left"/>
      </w:pPr>
      <w:r>
        <w:rPr>
          <w:b/>
        </w:rPr>
        <w:t>Vertraulichkeit:</w:t>
      </w:r>
      <w:r>
        <w:t xml:space="preserve"> Mandantenprivilegiert – nicht weiterzuleiten</w:t>
      </w:r>
    </w:p>
    <w:p/>
    <w:p>
      <w:pPr>
        <w:pStyle w:val="Heading2"/>
      </w:pPr>
      <w:r>
        <w:rPr>
          <w:rFonts w:ascii="Times New Roman" w:hAnsi="Times New Roman"/>
        </w:rPr>
        <w:t>Zusammenfassung der Gesamtstrategie</w:t>
      </w:r>
    </w:p>
    <w:p>
      <w:pPr>
        <w:jc w:val="left"/>
      </w:pPr>
      <w:r>
        <w:t>Das vorliegende Memorandum fasst die Gesamtstrategie der Kanzlei Drosselberg &amp; Partner</w:t>
      </w:r>
    </w:p>
    <w:p>
      <w:pPr>
        <w:jc w:val="left"/>
      </w:pPr>
      <w:r>
        <w:t>für die Sanierung der Großbach Druckguss &amp; Präzision GmbH &amp; Co. KG zusammen. Es richtet</w:t>
      </w:r>
    </w:p>
    <w:p>
      <w:pPr>
        <w:jc w:val="left"/>
      </w:pPr>
      <w:r>
        <w:t>sich an Sie persönlich als verantwortliche Geschäftsführer und soll Ihnen einen klaren</w:t>
      </w:r>
    </w:p>
    <w:p>
      <w:pPr>
        <w:jc w:val="left"/>
      </w:pPr>
      <w:r>
        <w:t>Überblick über die rechtlichen und wirtschaftlichen Handlungsoptionen geben.</w:t>
      </w:r>
    </w:p>
    <w:p/>
    <w:p>
      <w:pPr>
        <w:pStyle w:val="Heading2"/>
      </w:pPr>
      <w:r>
        <w:rPr>
          <w:rFonts w:ascii="Times New Roman" w:hAnsi="Times New Roman"/>
        </w:rPr>
        <w:t>1. Ausgangslage – Zusammenfassung</w:t>
      </w:r>
    </w:p>
    <w:p>
      <w:pPr>
        <w:jc w:val="left"/>
      </w:pPr>
      <w:r>
        <w:t>Die Großbach Druckguss &amp; Präzision GmbH &amp; Co. KG befindet sich in einer schweren,</w:t>
      </w:r>
    </w:p>
    <w:p>
      <w:pPr>
        <w:jc w:val="left"/>
      </w:pPr>
      <w:r>
        <w:t>aber beherrschbaren Krise. Die Krise hat strukturelle Ursachen (E-Mobilitäts-Transition,</w:t>
      </w:r>
    </w:p>
    <w:p>
      <w:pPr>
        <w:jc w:val="left"/>
      </w:pPr>
      <w:r>
        <w:t>Energiekosten), einen konkreten Auslöser (KK-Kürzung Sparkasse 15.04.2026) und mehrere</w:t>
      </w:r>
    </w:p>
    <w:p>
      <w:pPr>
        <w:jc w:val="left"/>
      </w:pPr>
      <w:r>
        <w:t>interne Risikofaktoren (Gesellschafterdarlehen-Rückzahlung, Bonus-Zahlung), die rechtliche</w:t>
      </w:r>
    </w:p>
    <w:p>
      <w:pPr>
        <w:jc w:val="left"/>
      </w:pPr>
      <w:r>
        <w:t>Anfechtungsrisiken begründen.</w:t>
      </w:r>
    </w:p>
    <w:p>
      <w:pPr>
        <w:jc w:val="left"/>
      </w:pPr>
      <w:r>
        <w:rPr>
          <w:b/>
        </w:rPr>
        <w:t>Was gut läuft:</w:t>
      </w:r>
    </w:p>
    <w:p>
      <w:pPr>
        <w:pStyle w:val="ListBullet"/>
      </w:pPr>
      <w:r>
        <w:t>Schutzschirmantrag ist eingereicht (203 IN 71/26 SA), Verfahren läuft</w:t>
      </w:r>
    </w:p>
    <w:p>
      <w:pPr>
        <w:pStyle w:val="ListBullet"/>
      </w:pPr>
      <w:r>
        <w:t>Restrukturierungsanzeige beim AG Erfurt (203 RES 7/26) ist erfolgt</w:t>
      </w:r>
    </w:p>
    <w:p>
      <w:pPr>
        <w:pStyle w:val="ListBullet"/>
      </w:pPr>
      <w:r>
        <w:t>Sparkasse ist verhandlungsbereit; Standstill-Abkommen sichert bis 30.06.2026</w:t>
      </w:r>
    </w:p>
    <w:p>
      <w:pPr>
        <w:pStyle w:val="ListBullet"/>
      </w:pPr>
      <w:r>
        <w:t>BTC-Bestand Friedhelm Großbach bietet konkreten Liquiditätspuffer (612 TEUR)</w:t>
      </w:r>
    </w:p>
    <w:p>
      <w:pPr>
        <w:pStyle w:val="ListBullet"/>
      </w:pPr>
      <w:r>
        <w:t>IDW-S-6-Gutachten liegt vor und bestätigt Sanierungsfähigkeit</w:t>
      </w:r>
    </w:p>
    <w:p>
      <w:pPr>
        <w:pStyle w:val="ListBullet"/>
      </w:pPr>
      <w:r>
        <w:t>Insolvenzgeld sichert 3 Monate Lohnzahlungen</w:t>
      </w:r>
    </w:p>
    <w:p>
      <w:pPr>
        <w:jc w:val="left"/>
      </w:pPr>
      <w:r>
        <w:rPr>
          <w:b/>
        </w:rPr>
        <w:t>Was kritisch ist:</w:t>
      </w:r>
    </w:p>
    <w:p>
      <w:pPr>
        <w:pStyle w:val="ListBullet"/>
      </w:pPr>
      <w:r>
        <w:t>Magnesium Voß: Gläubigerantrag-Drohung noch nicht endgültig abgewendet</w:t>
      </w:r>
    </w:p>
    <w:p>
      <w:pPr>
        <w:pStyle w:val="ListBullet"/>
      </w:pPr>
      <w:r>
        <w:t>Siemens-Pönale: 1,2 Mio. EUR Risiko, Verhandlung steht aus</w:t>
      </w:r>
    </w:p>
    <w:p>
      <w:pPr>
        <w:pStyle w:val="ListBullet"/>
      </w:pPr>
      <w:r>
        <w:t>Aluminium Stade: Ersttermin noch nicht stattgefunden; Lieferkettenrisiko hoch</w:t>
      </w:r>
    </w:p>
    <w:p>
      <w:pPr>
        <w:pStyle w:val="ListBullet"/>
      </w:pPr>
      <w:r>
        <w:t>Anfechtungsansprüche (Friedhelm-Darlehen, Bertha-Bonus): rechtlich ungelöst</w:t>
      </w:r>
    </w:p>
    <w:p/>
    <w:p>
      <w:pPr>
        <w:pStyle w:val="Heading2"/>
      </w:pPr>
      <w:r>
        <w:rPr>
          <w:rFonts w:ascii="Times New Roman" w:hAnsi="Times New Roman"/>
        </w:rPr>
        <w:t>2. Drei-Phasen-Plan</w:t>
      </w:r>
    </w:p>
    <w:p>
      <w:pPr>
        <w:pStyle w:val="Heading3"/>
      </w:pPr>
      <w:r>
        <w:rPr>
          <w:rFonts w:ascii="Times New Roman" w:hAnsi="Times New Roman"/>
        </w:rPr>
        <w:t>Phase 1: Stabilisierung (Mai – Juli 2026)</w:t>
      </w:r>
    </w:p>
    <w:p>
      <w:pPr>
        <w:jc w:val="left"/>
      </w:pPr>
      <w:r>
        <w:rPr>
          <w:b/>
        </w:rPr>
        <w:t>Ziel:</w:t>
      </w:r>
      <w:r>
        <w:t xml:space="preserve"> Liquiditätssicherung, Stillstand der Vollstreckungsmaßnahmen, Gläubiger-</w:t>
      </w:r>
    </w:p>
    <w:p>
      <w:pPr>
        <w:jc w:val="left"/>
      </w:pPr>
      <w:r>
        <w:t>beruhigung, Sachwalterinstallation.</w:t>
      </w:r>
    </w:p>
    <w:p>
      <w:pPr>
        <w:jc w:val="left"/>
      </w:pPr>
      <w:r>
        <w:rPr>
          <w:b/>
        </w:rPr>
        <w:t>Maßnahmen:</w:t>
      </w:r>
    </w:p>
    <w:p>
      <w:pPr>
        <w:pStyle w:val="ListBullet"/>
      </w:pPr>
      <w:r>
        <w:t>BTC-Liquidierung (600.000 EUR Einlage in KG, Option A)</w:t>
      </w:r>
    </w:p>
    <w:p>
      <w:pPr>
        <w:pStyle w:val="ListBullet"/>
      </w:pPr>
      <w:r>
        <w:t>Sparkasse Standstill bis 30.06. (verlängern auf 30.09.)</w:t>
      </w:r>
    </w:p>
    <w:p>
      <w:pPr>
        <w:pStyle w:val="ListBullet"/>
      </w:pPr>
      <w:r>
        <w:t>Sofortzahlung 50.000 EUR an Voß; Ratenplan-Einigung</w:t>
      </w:r>
    </w:p>
    <w:p>
      <w:pPr>
        <w:pStyle w:val="ListBullet"/>
      </w:pPr>
      <w:r>
        <w:t>Insolvenzgeld-Antragstellung für 187 Arbeitnehmer</w:t>
      </w:r>
    </w:p>
    <w:p>
      <w:pPr>
        <w:pStyle w:val="ListBullet"/>
      </w:pPr>
      <w:r>
        <w:t>Factoring-Vereinbarung Eurofactor (800.000 EUR sofort)</w:t>
      </w:r>
    </w:p>
    <w:p>
      <w:pPr>
        <w:pStyle w:val="ListBullet"/>
      </w:pPr>
      <w:r>
        <w:t>Siemens-Pönale-Verhandlung (vor Ende Mai, Zielsetzung: Pönale auf 200.000 EUR begrenzen)</w:t>
      </w:r>
    </w:p>
    <w:p>
      <w:pPr>
        <w:pStyle w:val="Heading3"/>
      </w:pPr>
      <w:r>
        <w:rPr>
          <w:rFonts w:ascii="Times New Roman" w:hAnsi="Times New Roman"/>
        </w:rPr>
        <w:t>Phase 2: Restrukturierung (Juli – Dezember 2026)</w:t>
      </w:r>
    </w:p>
    <w:p>
      <w:pPr>
        <w:jc w:val="left"/>
      </w:pPr>
      <w:r>
        <w:rPr>
          <w:b/>
        </w:rPr>
        <w:t>Ziel:</w:t>
      </w:r>
      <w:r>
        <w:t xml:space="preserve"> Umsetzung des StaRUG-Plans / Insolvenzplans, Personalanpassung, operative</w:t>
      </w:r>
    </w:p>
    <w:p>
      <w:pPr>
        <w:jc w:val="left"/>
      </w:pPr>
      <w:r>
        <w:t>Kostensenkung, Gläubigereinigung.</w:t>
      </w:r>
    </w:p>
    <w:p>
      <w:pPr>
        <w:jc w:val="left"/>
      </w:pPr>
      <w:r>
        <w:rPr>
          <w:b/>
        </w:rPr>
        <w:t>Maßnahmen:</w:t>
      </w:r>
    </w:p>
    <w:p>
      <w:pPr>
        <w:pStyle w:val="ListBullet"/>
      </w:pPr>
      <w:r>
        <w:t>Abstimmungstermin StaRUG-Plan: 15.07.2026</w:t>
      </w:r>
    </w:p>
    <w:p>
      <w:pPr>
        <w:pStyle w:val="ListBullet"/>
      </w:pPr>
      <w:r>
        <w:t>Personalreduzierung: 187 → 162 MA (Sozialplan bis September 2026)</w:t>
      </w:r>
    </w:p>
    <w:p>
      <w:pPr>
        <w:pStyle w:val="ListBullet"/>
      </w:pPr>
      <w:r>
        <w:t>Kurzarbeit für 40 MA (6 Monate)</w:t>
      </w:r>
    </w:p>
    <w:p>
      <w:pPr>
        <w:pStyle w:val="ListBullet"/>
      </w:pPr>
      <w:r>
        <w:t>Energiekostenoptimierung: PV-Anlage Angebot einholen (Dachfläche Werk 2)</w:t>
      </w:r>
    </w:p>
    <w:p>
      <w:pPr>
        <w:pStyle w:val="ListBullet"/>
      </w:pPr>
      <w:r>
        <w:t>Maschinenverkauf (3 ältere Druckgussanlagen, Erlös ca. 1,2 Mio. EUR)</w:t>
      </w:r>
    </w:p>
    <w:p>
      <w:pPr>
        <w:pStyle w:val="ListBullet"/>
      </w:pPr>
      <w:r>
        <w:t>Debt-to-Equity-Swap Sparkasse finalisieren</w:t>
      </w:r>
    </w:p>
    <w:p>
      <w:pPr>
        <w:pStyle w:val="Heading3"/>
      </w:pPr>
      <w:r>
        <w:rPr>
          <w:rFonts w:ascii="Times New Roman" w:hAnsi="Times New Roman"/>
        </w:rPr>
        <w:t>Phase 3: Neustart (2027+)</w:t>
      </w:r>
    </w:p>
    <w:p>
      <w:pPr>
        <w:jc w:val="left"/>
      </w:pPr>
      <w:r>
        <w:rPr>
          <w:b/>
        </w:rPr>
        <w:t>Ziel:</w:t>
      </w:r>
      <w:r>
        <w:t xml:space="preserve"> Konsolidierung auf 160-170 MA, neue Märkte (E-Mobility Strukturteile, Batterie-</w:t>
      </w:r>
    </w:p>
    <w:p>
      <w:pPr>
        <w:jc w:val="left"/>
      </w:pPr>
      <w:r>
        <w:t>gehäuse), EBITDA &gt; 3 Mio. EUR bis 2028.</w:t>
      </w:r>
    </w:p>
    <w:p>
      <w:pPr>
        <w:jc w:val="left"/>
      </w:pPr>
      <w:r>
        <w:rPr>
          <w:b/>
        </w:rPr>
        <w:t>Maßnahmen:</w:t>
      </w:r>
    </w:p>
    <w:p>
      <w:pPr>
        <w:pStyle w:val="ListBullet"/>
      </w:pPr>
      <w:r>
        <w:t>Neukundenakquisition: CATL (Thüringen-Werk Leipzig), Webasto</w:t>
      </w:r>
    </w:p>
    <w:p>
      <w:pPr>
        <w:pStyle w:val="ListBullet"/>
      </w:pPr>
      <w:r>
        <w:t>Investitionsprogramm Druckguss-Technologie (Hochdruckanlagen für Aluminium-Strukturteile)</w:t>
      </w:r>
    </w:p>
    <w:p>
      <w:pPr>
        <w:pStyle w:val="ListBullet"/>
      </w:pPr>
      <w:r>
        <w:t>Finanzierung: KfW-Förderprogramm „Transformation" (Antrag Q1/2027)</w:t>
      </w:r>
    </w:p>
    <w:p/>
    <w:p>
      <w:pPr>
        <w:pStyle w:val="Heading2"/>
      </w:pPr>
      <w:r>
        <w:rPr>
          <w:rFonts w:ascii="Times New Roman" w:hAnsi="Times New Roman"/>
        </w:rPr>
        <w:t>3. Persönliches Risikoprofil der Geschäftsführer</w:t>
      </w:r>
    </w:p>
    <w:p>
      <w:pPr>
        <w:pStyle w:val="Heading3"/>
      </w:pPr>
      <w:r>
        <w:rPr>
          <w:rFonts w:ascii="Times New Roman" w:hAnsi="Times New Roman"/>
        </w:rPr>
        <w:t>3.1 Friedhelm Großbach</w:t>
      </w:r>
    </w:p>
    <w:p>
      <w:pPr>
        <w:jc w:val="left"/>
      </w:pPr>
      <w:r>
        <w:rPr>
          <w:b/>
        </w:rPr>
        <w:t>Haftungsrisiken:</w:t>
      </w:r>
    </w:p>
    <w:p>
      <w:pPr>
        <w:pStyle w:val="ListBullet"/>
      </w:pPr>
      <w:r>
        <w:t>§ 15a InsO: Insolvenzantragspflicht-Verletzung möglich, falls Zahlungsunfähigkeit</w:t>
      </w:r>
    </w:p>
    <w:p>
      <w:pPr>
        <w:jc w:val="left"/>
      </w:pPr>
      <w:r>
        <w:t>früher als angenommen eingetreten ist → wird durch rechtzeitigen Eigenantrag abgewendet</w:t>
      </w:r>
    </w:p>
    <w:p>
      <w:pPr>
        <w:pStyle w:val="ListBullet"/>
      </w:pPr>
      <w:r>
        <w:t>§ 64 GmbHG (a.F.) / § 15b InsO: Zahlungen nach Insolvenzreife? Prüfung ob</w:t>
      </w:r>
    </w:p>
    <w:p>
      <w:pPr>
        <w:jc w:val="left"/>
      </w:pPr>
      <w:r>
        <w:t>Zahlung Aluminium Stade Mitte März 2026 (80 TEUR) angreifbar → geringes Risiko</w:t>
      </w:r>
    </w:p>
    <w:p>
      <w:pPr>
        <w:pStyle w:val="ListBullet"/>
      </w:pPr>
      <w:r>
        <w:t>Bürgschaft gegenüber Sparkasse (1,5 Mio. EUR): Bestand; Aktivierung nur bei</w:t>
      </w:r>
    </w:p>
    <w:p>
      <w:pPr>
        <w:jc w:val="left"/>
      </w:pPr>
      <w:r>
        <w:t>vollständigem Verfahrensscheitern</w:t>
      </w:r>
    </w:p>
    <w:p>
      <w:pPr>
        <w:jc w:val="left"/>
      </w:pPr>
      <w:r>
        <w:rPr>
          <w:b/>
        </w:rPr>
        <w:t>Anfechtungsrisiko Darlehensrückzahlung:</w:t>
      </w:r>
    </w:p>
    <w:p>
      <w:pPr>
        <w:jc w:val="left"/>
      </w:pPr>
      <w:r>
        <w:t>Wie in Aktenstück 09 ausgeführt, ist die Rückzahlung von 380.000 EUR anfechtbar.</w:t>
      </w:r>
    </w:p>
    <w:p>
      <w:pPr>
        <w:jc w:val="left"/>
      </w:pPr>
      <w:r>
        <w:t>Empfehlung: Außergerichtliche Einigung – Rückzahlung 300.000 EUR in zwei Raten;</w:t>
      </w:r>
    </w:p>
    <w:p>
      <w:pPr>
        <w:jc w:val="left"/>
      </w:pPr>
      <w:r>
        <w:t>Verzicht auf Restzinsen.</w:t>
      </w:r>
    </w:p>
    <w:p>
      <w:pPr>
        <w:pStyle w:val="Heading3"/>
      </w:pPr>
      <w:r>
        <w:rPr>
          <w:rFonts w:ascii="Times New Roman" w:hAnsi="Times New Roman"/>
        </w:rPr>
        <w:t>3.2 Bertha Großbach-Riemenschneider</w:t>
      </w:r>
    </w:p>
    <w:p>
      <w:pPr>
        <w:jc w:val="left"/>
      </w:pPr>
      <w:r>
        <w:rPr>
          <w:b/>
        </w:rPr>
        <w:t>Haftungsrisiken:</w:t>
      </w:r>
    </w:p>
    <w:p>
      <w:pPr>
        <w:pStyle w:val="ListBullet"/>
      </w:pPr>
      <w:r>
        <w:t>Als Geschäftsführerin der Komplementär-GmbH haftet sie gleichrangig mit Friedhelm</w:t>
      </w:r>
    </w:p>
    <w:p>
      <w:pPr>
        <w:jc w:val="left"/>
      </w:pPr>
      <w:r>
        <w:t>für Antragspflichtverletzungen</w:t>
      </w:r>
    </w:p>
    <w:p>
      <w:pPr>
        <w:pStyle w:val="ListBullet"/>
      </w:pPr>
      <w:r>
        <w:t>Bonus-Anfechtungsrisiko: Rechtlich beherrschbar; Vergleichslösung angestrebt</w:t>
      </w:r>
    </w:p>
    <w:p>
      <w:pPr>
        <w:jc w:val="left"/>
      </w:pPr>
      <w:r>
        <w:rPr>
          <w:b/>
        </w:rPr>
        <w:t>Empfehlung:</w:t>
      </w:r>
      <w:r>
        <w:t xml:space="preserve"> Eigene anwaltliche Beratung für persönliche Haftungsabsicherung.</w:t>
      </w:r>
    </w:p>
    <w:p>
      <w:pPr>
        <w:jc w:val="left"/>
      </w:pPr>
      <w:r>
        <w:t>Die Kanzlei Drosselberg &amp; Partner vertritt die KG, nicht die Geschäftsführer persönlich.</w:t>
      </w:r>
    </w:p>
    <w:p/>
    <w:p>
      <w:pPr>
        <w:pStyle w:val="Heading2"/>
      </w:pPr>
      <w:r>
        <w:rPr>
          <w:rFonts w:ascii="Times New Roman" w:hAnsi="Times New Roman"/>
        </w:rPr>
        <w:t>4. Kommunikationsstrategie nach außen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Stakeholder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Botschaft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Timing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„Wir sanieren – kein Arbeitsplatz ist sicher, aber wir kämpfen für jeden"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Ehrlich, zuversichtlich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 nach Eröffnungsbeschluss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Sachsen / MAN / ZF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„Lieferfähigkeit uneingeschränkt, Qualität bleibt konstant"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Professionell, sachlich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07.05.2026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Mobility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„Wir suchen eine Lösung zur Pönale-Reduzierung"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Kooperativ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Lokale Presse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Kurze Pressemitteilung: „Großbach einigt sich auf Sanierungsverfahren"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der Verfahrenseröffnung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allgemein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Individuelle Anschreiben mit Zahlungsplan-Angeboten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10.06.2026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Erfolgskriterien</w:t>
      </w:r>
    </w:p>
    <w:p>
      <w:pPr>
        <w:jc w:val="left"/>
      </w:pPr>
      <w:r>
        <w:t>Das Sanierungsverfahren gilt als erfolgreich, wenn bis 31.12.2026:</w:t>
      </w:r>
    </w:p>
    <w:p>
      <w:pPr>
        <w:pStyle w:val="ListNumber"/>
      </w:pPr>
      <w:r>
        <w:t>Der StaRUG-Plan / Insolvenzplan gerichtlich bestätigt ist</w:t>
      </w:r>
    </w:p>
    <w:p>
      <w:pPr>
        <w:pStyle w:val="ListNumber"/>
      </w:pPr>
      <w:r>
        <w:t>Die Sparkassen-Einigung (DtE-Swap + Rangrücktritt) unterschrieben ist</w:t>
      </w:r>
    </w:p>
    <w:p>
      <w:pPr>
        <w:pStyle w:val="ListNumber"/>
      </w:pPr>
      <w:r>
        <w:t>Die Siemens-Pönale auf max. 400.000 EUR begrenzt ist</w:t>
      </w:r>
    </w:p>
    <w:p>
      <w:pPr>
        <w:pStyle w:val="ListNumber"/>
      </w:pPr>
      <w:r>
        <w:t>Die Personalanpassung (162 MA) sozialplanmäßig abgeschlossen ist</w:t>
      </w:r>
    </w:p>
    <w:p>
      <w:pPr>
        <w:pStyle w:val="ListNumber"/>
      </w:pPr>
      <w:r>
        <w:t>Kein Gläubiger außerhalb des Plans eine rechtliche Eskalation durchführt</w:t>
      </w:r>
    </w:p>
    <w:p>
      <w:pPr>
        <w:pStyle w:val="ListNumber"/>
      </w:pPr>
      <w:r>
        <w:t>Die KG ab Januar 2027 wieder eigenständig ihre Verbindlichkeiten begleichen kann</w:t>
      </w:r>
    </w:p>
    <w:p/>
    <w:p>
      <w:pPr>
        <w:jc w:val="left"/>
      </w:pPr>
      <w:r>
        <w:rPr>
          <w:i/>
        </w:rPr>
        <w:t>Strategiememorandum – Drosselberg &amp; Partner Insolvenzrecht, Erfurt</w:t>
      </w:r>
    </w:p>
    <w:p>
      <w:pPr>
        <w:jc w:val="left"/>
      </w:pPr>
      <w:r>
        <w:rPr>
          <w:i/>
        </w:rPr>
        <w:t>RA Dr. Maximilian Drosselberg – 28. Mai 2026 – Mandantenprivilegiert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