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– Liquiditätsanalyse</w:t>
      </w:r>
    </w:p>
    <w:p>
      <w:pPr>
        <w:jc w:val="left"/>
      </w:pPr>
      <w:r>
        <w:rPr>
          <w:b/>
        </w:rPr>
        <w:t>Mandantin:</w:t>
      </w:r>
      <w:r>
        <w:t xml:space="preserve"> Großbach Druckguss &amp; Präzision GmbH &amp; Co. KG</w:t>
      </w:r>
    </w:p>
    <w:p>
      <w:pPr>
        <w:jc w:val="left"/>
      </w:pPr>
      <w:r>
        <w:rPr>
          <w:b/>
        </w:rPr>
        <w:t>Erstellt:</w:t>
      </w:r>
      <w:r>
        <w:t xml:space="preserve"> 28. April 2026 (aktualisiert 15. Mai 2026)</w:t>
      </w:r>
    </w:p>
    <w:p>
      <w:pPr>
        <w:jc w:val="left"/>
      </w:pPr>
      <w:r>
        <w:rPr>
          <w:b/>
        </w:rPr>
        <w:t>Bearbeiter:</w:t>
      </w:r>
      <w:r>
        <w:t xml:space="preserve"> Dipl.-Kfm. Rainer Pabst (Prokurist) + RAin Claudia Feuerbach</w:t>
      </w:r>
    </w:p>
    <w:p>
      <w:pPr>
        <w:jc w:val="left"/>
      </w:pPr>
      <w:r>
        <w:rPr>
          <w:b/>
        </w:rPr>
        <w:t>Zweck:</w:t>
      </w:r>
      <w:r>
        <w:t xml:space="preserve"> Grundlage IDW S 6, Schutzschirmantrag, Gläubigerverhandlungen</w:t>
      </w:r>
    </w:p>
    <w:p/>
    <w:p>
      <w:pPr>
        <w:pStyle w:val="Heading2"/>
      </w:pPr>
      <w:r>
        <w:rPr>
          <w:rFonts w:ascii="Times New Roman" w:hAnsi="Times New Roman"/>
        </w:rPr>
        <w:t>1. Ist-Liquidität per 22. April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Kontonummer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Girokonto (betrieblich)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DE88 8205 0000 3312 7744 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+187.420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Girokonto (Nebengeschäft)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Commerzbank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DE22 2004 0060 0877 1234 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+43.100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Festgeldkonto (ausläuft 30.06.2026)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DE88 8205 0000 3312 7744 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+220.000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Verfügbare Barmittel 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+450.520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Verfügbarer KK-Rahmen (nach Kürzung: 2 Mio. EUR – Inanspruchnahme 1.688 TEUR)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+312.000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Gesamte verfügbare Liquidität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+762.520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Kurzfristig Fällige Verbindlichkeiten (April/Mai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Löhne + Gehälter April 2026 (187 MA)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623.000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Sozialversicherungsbeiträge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GmbH &amp; Co.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15.03.2026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Manfred Voß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 (USt, Q4/2025)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10.04.2026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187.000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 (LSt März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10.04.2026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Kanzleivorschuss 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Energieversorger E.ON (März + 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 (teilw. 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Leasingraten Maschinenlease (April)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Verbindlichkeiten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Diverse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168.000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KURZFRISTIG FÄLLIG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2.713.000</w:t>
            </w:r>
          </w:p>
        </w:tc>
        <w:tc>
          <w:tcPr>
            <w:tcW w:type="dxa" w:w="2268"/>
          </w:tcPr>
          <w:p/>
        </w:tc>
      </w:tr>
    </w:tbl>
    <w:p>
      <w:pPr>
        <w:jc w:val="left"/>
      </w:pPr>
      <w:r>
        <w:rPr>
          <w:b/>
        </w:rPr>
        <w:t>Liquiditätslücke per 22. April 2026:</w:t>
      </w:r>
      <w:r>
        <w:t xml:space="preserve"> 2.713.000 – 762.520 = </w:t>
      </w:r>
      <w:r>
        <w:rPr>
          <w:b/>
        </w:rPr>
        <w:t>–1.950.480 EUR</w:t>
      </w:r>
    </w:p>
    <w:p/>
    <w:p>
      <w:pPr>
        <w:pStyle w:val="Heading2"/>
      </w:pPr>
      <w:r>
        <w:rPr>
          <w:rFonts w:ascii="Times New Roman" w:hAnsi="Times New Roman"/>
        </w:rPr>
        <w:t>3. Liquiditätsquellen (Kurzfristig aktivierbar)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Wann verfügbar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Insolvenzgeld (BA, 3 Mon. rückwirkend)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1.869.000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Mai–Juni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Factoring Eurofactor (80 % der Debitorenforderungen)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27.05.2026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BTC-Liquidierung Friedhelm Großbach (Einlage)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02.06.2026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Maschinenverkauf (3 ältere Druckgussanlagen)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Juli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Festgeldkonto (fällig 30.06.2026)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Sparkasse: Verlängerung Standstill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(zeitl. Puffer)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LIQUIDITÄTSQUELLEN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4.689.000</w:t>
            </w:r>
          </w:p>
        </w:tc>
        <w:tc>
          <w:tcPr>
            <w:tcW w:type="dxa" w:w="2268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4. 13-Wochen-Liquiditätsvorschau (KW 17–29/2026)</w:t>
      </w:r>
    </w:p>
    <w:p>
      <w:pPr>
        <w:jc w:val="left"/>
      </w:pPr>
      <w:r>
        <w:rPr>
          <w:i/>
        </w:rPr>
        <w:t>(Detaillierte Tabelle in xlsx/liquiditaetsplan_13wochen.xlsx)</w:t>
      </w:r>
    </w:p>
    <w:p>
      <w:pPr>
        <w:jc w:val="left"/>
      </w:pPr>
      <w:r>
        <w:rPr>
          <w:b/>
        </w:rPr>
        <w:t>Zusammenfassung der Entwicklung: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Woche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Liquiditätssaldo (kumuliert,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Kritisch?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18/2026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-1.950.480 (Ausgangslücke)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19/2026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-1.243.000 (nach Insolvenzgeld-Antrag)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20/2026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-892.000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21/2026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-489.000 (nach Factoring-Ersteinkauf)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-201.000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ANGESPANNT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23/2026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+47.000 (nach BTC-Einlage)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24/2026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25/2026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+178.000 (nach Löhnen Mai)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26/2026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+421.000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27/2026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+598.000 (nach Maschinenverkauf TW1)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28/2026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+523.000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29/2026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+681.000 (nach Festgeld-Auflösung)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30/2026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+744.000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</w:tbl>
    <w:p>
      <w:pPr>
        <w:jc w:val="left"/>
      </w:pPr>
      <w:r>
        <w:rPr>
          <w:b/>
        </w:rPr>
        <w:t>Kritische Phase:</w:t>
      </w:r>
      <w:r>
        <w:t xml:space="preserve"> KW 18–22/2026 (April/Mai 2026). In dieser Phase müssen folgende</w:t>
      </w:r>
    </w:p>
    <w:p>
      <w:pPr>
        <w:jc w:val="left"/>
      </w:pPr>
      <w:r>
        <w:t>Sofortmaßnahmen greifen: Insolvenzgeld-Antragstellung, Factoring-Aktivierung, Moratorium</w:t>
      </w:r>
    </w:p>
    <w:p>
      <w:pPr>
        <w:jc w:val="left"/>
      </w:pPr>
      <w:r>
        <w:t>Aluminium Stade und Voß.</w:t>
      </w:r>
    </w:p>
    <w:p/>
    <w:p>
      <w:pPr>
        <w:pStyle w:val="Heading2"/>
      </w:pPr>
      <w:r>
        <w:rPr>
          <w:rFonts w:ascii="Times New Roman" w:hAnsi="Times New Roman"/>
        </w:rPr>
        <w:t>5. Mittelfristiger Finanzausblick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Umsatz (Mio.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EBITDA (Mio.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Liquide Mittel (Mio. 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2025 (IST vorl.)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2026 (Basis-Plan)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-0,3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2027 (Basis-Plan)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2028 (Basis-Plan)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2,8</w:t>
            </w:r>
          </w:p>
        </w:tc>
      </w:tr>
    </w:tbl>
    <w:p>
      <w:pPr>
        <w:jc w:val="left"/>
      </w:pPr>
      <w:r>
        <w:t>*Annahmen: Personalreduzierung auf 162 MA ab Q4/2026; Neukundengeschäft E-Mobility</w:t>
      </w:r>
    </w:p>
    <w:p>
      <w:pPr>
        <w:jc w:val="left"/>
      </w:pPr>
      <w:r>
        <w:t>ab Q3/2027; Energiekostenstabilisierung durch PV-Anlage ab Q4/2026*</w:t>
      </w:r>
    </w:p>
    <w:p/>
    <w:p>
      <w:pPr>
        <w:jc w:val="left"/>
      </w:pPr>
      <w:r>
        <w:rPr>
          <w:i/>
        </w:rPr>
        <w:t>Liquiditätsanalyse – Drosselberg &amp; Partner / Pabst Rechnungswesen</w:t>
      </w:r>
    </w:p>
    <w:p>
      <w:pPr>
        <w:jc w:val="left"/>
      </w:pPr>
      <w:r>
        <w:rPr>
          <w:i/>
        </w:rPr>
        <w:t>Erstellt 28. April 2026, aktualisiert 15.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