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– Siemens Mobility – Vertragsstrafe (Pönale) Risikoanalyse</w:t>
      </w:r>
    </w:p>
    <w:p>
      <w:pPr>
        <w:jc w:val="left"/>
      </w:pPr>
      <w:r>
        <w:rPr>
          <w:b/>
        </w:rPr>
        <w:t>Bearbeiter:</w:t>
      </w:r>
      <w:r>
        <w:t xml:space="preserve"> RAin Claudia Feuerbach</w:t>
      </w:r>
    </w:p>
    <w:p>
      <w:pPr>
        <w:jc w:val="left"/>
      </w:pPr>
      <w:r>
        <w:rPr>
          <w:b/>
        </w:rPr>
        <w:t>Datum:</w:t>
      </w:r>
      <w:r>
        <w:t xml:space="preserve"> 26. Mai 2026</w:t>
      </w:r>
    </w:p>
    <w:p>
      <w:pPr>
        <w:jc w:val="left"/>
      </w:pPr>
      <w:r>
        <w:rPr>
          <w:b/>
        </w:rPr>
        <w:t>Grundlage:</w:t>
      </w:r>
      <w:r>
        <w:t xml:space="preserve"> Rahmenliefervertrag Siemens Mobility GmbH / Großbach KG vom 12.03.2021</w:t>
      </w:r>
    </w:p>
    <w:p/>
    <w:p>
      <w:pPr>
        <w:pStyle w:val="Heading2"/>
      </w:pPr>
      <w:r>
        <w:rPr>
          <w:rFonts w:ascii="Times New Roman" w:hAnsi="Times New Roman"/>
        </w:rPr>
        <w:t>1. Vertragliche Grundlage</w:t>
      </w:r>
    </w:p>
    <w:p>
      <w:pPr>
        <w:jc w:val="left"/>
      </w:pPr>
      <w:r>
        <w:t>Die Großbach Druckguss &amp; Präzision GmbH &amp; Co. KG liefert an die Siemens Mobility GmbH</w:t>
      </w:r>
    </w:p>
    <w:p>
      <w:pPr>
        <w:jc w:val="left"/>
      </w:pPr>
      <w:r>
        <w:t>(Werk Krefeld, Produktionsbereich Triebwerkskomponenten) Präzisions-Aluminiumgussteile</w:t>
      </w:r>
    </w:p>
    <w:p>
      <w:pPr>
        <w:jc w:val="left"/>
      </w:pPr>
      <w:r>
        <w:t>(Tragrahmenkomponenten für ICE-4 und ICE-3neo, Bestellvolumen ca. 3,2 Mio. EUR/Jahr).</w:t>
      </w:r>
    </w:p>
    <w:p>
      <w:pPr>
        <w:jc w:val="left"/>
      </w:pPr>
      <w:r>
        <w:rPr>
          <w:b/>
        </w:rPr>
        <w:t>Vertragsstrafe-Klausel (§ 7 Rahmenliefervertrag vom 12.03.2021):</w:t>
      </w:r>
    </w:p>
    <w:p>
      <w:pPr>
        <w:ind w:left="567"/>
      </w:pPr>
      <w:r>
        <w:rPr>
          <w:i/>
        </w:rPr>
        <w:t>„Unterschreitet die Liefertreue-Quote des Lieferanten in zwei aufeinanderfolgenden</w:t>
      </w:r>
    </w:p>
    <w:p>
      <w:pPr>
        <w:ind w:left="567"/>
      </w:pPr>
      <w:r>
        <w:rPr>
          <w:i/>
        </w:rPr>
        <w:t>Kalenderquartalen den vereinbarten Mindest-KPI von 95 % (On-Time-In-Full), ist der</w:t>
      </w:r>
    </w:p>
    <w:p>
      <w:pPr>
        <w:ind w:left="567"/>
      </w:pPr>
      <w:r>
        <w:rPr>
          <w:i/>
        </w:rPr>
        <w:t>Lieferant verpflichtet, eine pauschalisierte Vertragsstrafe in Höhe von 2,5 % des</w:t>
      </w:r>
    </w:p>
    <w:p>
      <w:pPr>
        <w:ind w:left="567"/>
      </w:pPr>
      <w:r>
        <w:rPr>
          <w:i/>
        </w:rPr>
        <w:t>Jahresauftragsvolumens pro Quartal zu zahlen, maximal jedoch 1.200.000 EUR in Summe."</w:t>
      </w:r>
    </w:p>
    <w:p>
      <w:pPr>
        <w:jc w:val="left"/>
      </w:pPr>
      <w:r>
        <w:rPr>
          <w:b/>
        </w:rPr>
        <w:t>Sachverhalt:</w:t>
      </w:r>
    </w:p>
    <w:p>
      <w:pPr>
        <w:pStyle w:val="ListBullet"/>
      </w:pPr>
      <w:r>
        <w:t>Liefertreue-Quote Q3/2025: 87 % (unter Mindest-KPI 95 %)</w:t>
      </w:r>
    </w:p>
    <w:p>
      <w:pPr>
        <w:pStyle w:val="ListBullet"/>
      </w:pPr>
      <w:r>
        <w:t>Liefertreue-Quote Q4/2025: 83 % (ebenfalls unter Mindest-KPI)</w:t>
      </w:r>
    </w:p>
    <w:p>
      <w:pPr>
        <w:pStyle w:val="ListBullet"/>
      </w:pPr>
      <w:r>
        <w:t>→ Tatbestand der Pönale-Klausel ist dem Grunde nach erfüllt</w:t>
      </w:r>
    </w:p>
    <w:p>
      <w:pPr>
        <w:pStyle w:val="ListBullet"/>
      </w:pPr>
      <w:r>
        <w:t>Siemens-Schreiben vom 18. März 2026 (Pönale-Ankündigung): Forderung 1.200.000 EUR</w:t>
      </w:r>
    </w:p>
    <w:p/>
    <w:p>
      <w:pPr>
        <w:pStyle w:val="Heading2"/>
      </w:pPr>
      <w:r>
        <w:rPr>
          <w:rFonts w:ascii="Times New Roman" w:hAnsi="Times New Roman"/>
        </w:rPr>
        <w:t>2. Rechtliche Analyse der Pönale-Klausel</w:t>
      </w:r>
    </w:p>
    <w:p>
      <w:pPr>
        <w:pStyle w:val="Heading3"/>
      </w:pPr>
      <w:r>
        <w:rPr>
          <w:rFonts w:ascii="Times New Roman" w:hAnsi="Times New Roman"/>
        </w:rPr>
        <w:t>2.1 Wirksamkeit der Klausel (§ 343 BGB, § 307 BGB)</w:t>
      </w:r>
    </w:p>
    <w:p>
      <w:pPr>
        <w:jc w:val="left"/>
      </w:pPr>
      <w:r>
        <w:t>Vertragsstrafen sind im kaufmännischen Rechtsverkehr grundsätzlich zulässig (§§ 339 ff. BGB,</w:t>
      </w:r>
    </w:p>
    <w:p>
      <w:pPr>
        <w:jc w:val="left"/>
      </w:pPr>
      <w:r>
        <w:t>§ 348 HGB). Bei vorformulierten Vertragsbedingungen (AGB) unterliegen sie der</w:t>
      </w:r>
    </w:p>
    <w:p>
      <w:pPr>
        <w:jc w:val="left"/>
      </w:pPr>
      <w:r>
        <w:t>Inhaltskontrolle gemäß § 307 BGB (unangemessene Benachteiligung).</w:t>
      </w:r>
    </w:p>
    <w:p>
      <w:pPr>
        <w:jc w:val="left"/>
      </w:pPr>
      <w:r>
        <w:rPr>
          <w:b/>
        </w:rPr>
        <w:t>Einschätzung:</w:t>
      </w:r>
      <w:r>
        <w:t xml:space="preserve"> 2,5 % des Jahresauftragsvolumens (~80.000 EUR/Quartal) erscheint nicht</w:t>
      </w:r>
    </w:p>
    <w:p>
      <w:pPr>
        <w:jc w:val="left"/>
      </w:pPr>
      <w:r>
        <w:t>unverhältnismäßig. Der Maximalbetrag von 1.200.000 EUR (ca. 37,5 % des Jahresvolumens)</w:t>
      </w:r>
    </w:p>
    <w:p>
      <w:pPr>
        <w:jc w:val="left"/>
      </w:pPr>
      <w:r>
        <w:t>ist erheblich, aber branchenüblich für sicherheitskritische Komponenten (Siemens Mobility</w:t>
      </w:r>
    </w:p>
    <w:p>
      <w:pPr>
        <w:jc w:val="left"/>
      </w:pPr>
      <w:r>
        <w:t>liefert an DB Fernverkehr).</w:t>
      </w:r>
    </w:p>
    <w:p>
      <w:pPr>
        <w:jc w:val="left"/>
      </w:pPr>
      <w:r>
        <w:t>Allerdings könnte § 343 BGB (gerichtliche Herabsetzung) relevant sein, wenn die</w:t>
      </w:r>
    </w:p>
    <w:p>
      <w:pPr>
        <w:jc w:val="left"/>
      </w:pPr>
      <w:r>
        <w:t>verwirkte Strafe unverhältnismäßig hoch ist. Angesichts des tatsächlichen Schadens</w:t>
      </w:r>
    </w:p>
    <w:p>
      <w:pPr>
        <w:jc w:val="left"/>
      </w:pPr>
      <w:r>
        <w:t>(Siemens musste möglicherweise Alternativlieferanten einsetzen) ist eine gerichtliche</w:t>
      </w:r>
    </w:p>
    <w:p>
      <w:pPr>
        <w:jc w:val="left"/>
      </w:pPr>
      <w:r>
        <w:t>Herabsetzung auf ca. 400.000–600.000 EUR denkbar.</w:t>
      </w:r>
    </w:p>
    <w:p>
      <w:pPr>
        <w:pStyle w:val="Heading3"/>
      </w:pPr>
      <w:r>
        <w:rPr>
          <w:rFonts w:ascii="Times New Roman" w:hAnsi="Times New Roman"/>
        </w:rPr>
        <w:t>2.2 Kräftemessen: Selbstverschulden vs. Höhere Gewalt</w:t>
      </w:r>
    </w:p>
    <w:p>
      <w:pPr>
        <w:jc w:val="left"/>
      </w:pPr>
      <w:r>
        <w:rPr>
          <w:b/>
        </w:rPr>
        <w:t>Argument der Mandantin:</w:t>
      </w:r>
      <w:r>
        <w:t xml:space="preserve"> Die Lieferverzögerungen in Q3/Q4 2025 waren teilweise auf</w:t>
      </w:r>
    </w:p>
    <w:p>
      <w:pPr>
        <w:jc w:val="left"/>
      </w:pPr>
      <w:r>
        <w:t>Materialengpässe (Aluminiumlieferung Aluminium Stade, Verzögerungen Juli 2025) zurückzuführen,</w:t>
      </w:r>
    </w:p>
    <w:p>
      <w:pPr>
        <w:jc w:val="left"/>
      </w:pPr>
      <w:r>
        <w:t>die ihrerseits höhere Gewalt (Transportkrise, Suezkanal-Umweg) darstellen.</w:t>
      </w:r>
    </w:p>
    <w:p>
      <w:pPr>
        <w:jc w:val="left"/>
      </w:pPr>
      <w:r>
        <w:t>Gemäß § 313 BGB (Störung der Geschäftsgrundlage) könnte eine Anpassung des Vertrags</w:t>
      </w:r>
    </w:p>
    <w:p>
      <w:pPr>
        <w:jc w:val="left"/>
      </w:pPr>
      <w:r>
        <w:t>beantragt werden. Die Hürden sind hoch, aber der Vorwurf der höheren Gewalt ist als</w:t>
      </w:r>
    </w:p>
    <w:p>
      <w:pPr>
        <w:jc w:val="left"/>
      </w:pPr>
      <w:r>
        <w:t>Verhandlungsargument geeignet.</w:t>
      </w:r>
    </w:p>
    <w:p/>
    <w:p>
      <w:pPr>
        <w:pStyle w:val="Heading2"/>
      </w:pPr>
      <w:r>
        <w:rPr>
          <w:rFonts w:ascii="Times New Roman" w:hAnsi="Times New Roman"/>
        </w:rPr>
        <w:t>3. Verhandlungsstrategie Siemens</w:t>
      </w:r>
    </w:p>
    <w:p>
      <w:pPr>
        <w:pStyle w:val="Heading3"/>
      </w:pPr>
      <w:r>
        <w:rPr>
          <w:rFonts w:ascii="Times New Roman" w:hAnsi="Times New Roman"/>
        </w:rPr>
        <w:t>3.1 Ziele der Verhandlung</w:t>
      </w:r>
    </w:p>
    <w:p>
      <w:pPr>
        <w:pStyle w:val="ListBullet"/>
      </w:pPr>
      <w:r>
        <w:rPr>
          <w:b/>
        </w:rPr>
        <w:t>Maximalziel:</w:t>
      </w:r>
      <w:r>
        <w:t xml:space="preserve"> Vollständiger Verzicht auf die Pönale (Verweis auf Lieferkettenprobleme,</w:t>
      </w:r>
    </w:p>
    <w:p>
      <w:pPr>
        <w:jc w:val="left"/>
      </w:pPr>
      <w:r>
        <w:t>höhere Gewalt)</w:t>
      </w:r>
    </w:p>
    <w:p>
      <w:pPr>
        <w:pStyle w:val="ListBullet"/>
      </w:pPr>
      <w:r>
        <w:rPr>
          <w:b/>
        </w:rPr>
        <w:t>Realistisches Ziel:</w:t>
      </w:r>
      <w:r>
        <w:t xml:space="preserve"> Reduzierung auf 300.000–400.000 EUR (25–33 % der Forderung)</w:t>
      </w:r>
    </w:p>
    <w:p>
      <w:pPr>
        <w:pStyle w:val="ListBullet"/>
      </w:pPr>
      <w:r>
        <w:rPr>
          <w:b/>
        </w:rPr>
        <w:t>Fallback:</w:t>
      </w:r>
      <w:r>
        <w:t xml:space="preserve"> Ratenzahlung der Pönale über 24 Monate, keine Sofortzahlung</w:t>
      </w:r>
    </w:p>
    <w:p>
      <w:pPr>
        <w:pStyle w:val="Heading3"/>
      </w:pPr>
      <w:r>
        <w:rPr>
          <w:rFonts w:ascii="Times New Roman" w:hAnsi="Times New Roman"/>
        </w:rPr>
        <w:t>3.2 Verhandlungsargumente</w:t>
      </w:r>
    </w:p>
    <w:p>
      <w:pPr>
        <w:pStyle w:val="ListNumber"/>
      </w:pPr>
      <w:r>
        <w:rPr>
          <w:b/>
        </w:rPr>
        <w:t>Continuity:</w:t>
      </w:r>
      <w:r>
        <w:t xml:space="preserve"> Großbach ist seit 2014 Lieferant für Siemens Mobility ohne</w:t>
      </w:r>
    </w:p>
    <w:p>
      <w:pPr>
        <w:jc w:val="left"/>
      </w:pPr>
      <w:r>
        <w:t>vergleichbare Leistungsprobleme. Einmaliges Ereignis.</w:t>
      </w:r>
    </w:p>
    <w:p>
      <w:pPr>
        <w:pStyle w:val="ListNumber"/>
      </w:pPr>
      <w:r>
        <w:rPr>
          <w:b/>
        </w:rPr>
        <w:t>Insolvenzverfahren:</w:t>
      </w:r>
      <w:r>
        <w:t xml:space="preserve"> Im Schutzschirmverfahren kann die Pönale als Masseverbindlichkeit</w:t>
      </w:r>
    </w:p>
    <w:p>
      <w:pPr>
        <w:jc w:val="left"/>
      </w:pPr>
      <w:r>
        <w:t>in den Plan aufgenommen werden; Siemens würde im Insolvenzfall deutlich weniger erhalten.</w:t>
      </w:r>
    </w:p>
    <w:p>
      <w:pPr>
        <w:pStyle w:val="ListNumber"/>
      </w:pPr>
      <w:r>
        <w:rPr>
          <w:b/>
        </w:rPr>
        <w:t>Alternative Lieferanten:</w:t>
      </w:r>
      <w:r>
        <w:t xml:space="preserve"> Siemens müsste einen neuen Druckguss-Lieferanten qualifizieren</w:t>
      </w:r>
    </w:p>
    <w:p>
      <w:pPr>
        <w:jc w:val="left"/>
      </w:pPr>
      <w:r>
        <w:t>(Prozess dauert 12–18 Monate); dies verursacht ebenfalls erhebliche Kosten.</w:t>
      </w:r>
    </w:p>
    <w:p>
      <w:pPr>
        <w:pStyle w:val="ListNumber"/>
      </w:pPr>
      <w:r>
        <w:rPr>
          <w:b/>
        </w:rPr>
        <w:t>Investitionszusage:</w:t>
      </w:r>
      <w:r>
        <w:t xml:space="preserve"> Großbach kann eine Investition in moderne CNC-Bearbeitungszentren</w:t>
      </w:r>
    </w:p>
    <w:p>
      <w:pPr>
        <w:jc w:val="left"/>
      </w:pPr>
      <w:r>
        <w:t>für Siemens-spezifische Teile zusagen (Qualitätsverbesserung, Liefertreue-Steigerung).</w:t>
      </w:r>
    </w:p>
    <w:p>
      <w:pPr>
        <w:pStyle w:val="Heading3"/>
      </w:pPr>
      <w:r>
        <w:rPr>
          <w:rFonts w:ascii="Times New Roman" w:hAnsi="Times New Roman"/>
        </w:rPr>
        <w:t>3.3 Mögliche Einigung</w:t>
      </w:r>
    </w:p>
    <w:p>
      <w:pPr>
        <w:jc w:val="left"/>
      </w:pPr>
      <w:r>
        <w:rPr>
          <w:b/>
        </w:rPr>
        <w:t>Vorschlag Drosselberg an Siemens (Entwurf, noch nicht versandt):</w:t>
      </w:r>
    </w:p>
    <w:p>
      <w:pPr>
        <w:pStyle w:val="ListBullet"/>
      </w:pPr>
      <w:r>
        <w:t>Pönale-Reduzierung auf 250.000 EUR (aus Kulanz, ohne Anerkennung der Verpflichtung dem Grunde nach)</w:t>
      </w:r>
    </w:p>
    <w:p>
      <w:pPr>
        <w:pStyle w:val="ListBullet"/>
      </w:pPr>
      <w:r>
        <w:t>Zahlung: 50.000 EUR sofort (aus Factoring), 200.000 EUR im Rahmen des Sanierungsplans (2027–2028)</w:t>
      </w:r>
    </w:p>
    <w:p>
      <w:pPr>
        <w:pStyle w:val="ListBullet"/>
      </w:pPr>
      <w:r>
        <w:t>Gegenzug: Großbach sagt Investition in neue Bearbeitungsmaschinen zu; Liefertreue-Quote</w:t>
      </w:r>
    </w:p>
    <w:p>
      <w:pPr>
        <w:jc w:val="left"/>
      </w:pPr>
      <w:r>
        <w:t>wird vertraglich auf 97 % angehoben</w:t>
      </w:r>
    </w:p>
    <w:p/>
    <w:p>
      <w:pPr>
        <w:pStyle w:val="Heading2"/>
      </w:pPr>
      <w:r>
        <w:rPr>
          <w:rFonts w:ascii="Times New Roman" w:hAnsi="Times New Roman"/>
        </w:rPr>
        <w:t>4. Risikoeinschätzung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Finanzieller Impact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Vollständiger Pönale-Verzicht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Einigung 250.000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40 %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250.000 EUR (handhabbar)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Einigung 500.000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500.000 EUR (im Plan darstellbar)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Volle Pönale 1.200.000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1.200.000 EUR (Plan-gefährdend)</w:t>
            </w:r>
          </w:p>
        </w:tc>
      </w:tr>
    </w:tbl>
    <w:p/>
    <w:p>
      <w:pPr>
        <w:jc w:val="left"/>
      </w:pPr>
      <w:r>
        <w:rPr>
          <w:i/>
        </w:rPr>
        <w:t>Risikoanalyse erstellt von: RAin Claudia Feuerbach</w:t>
      </w:r>
    </w:p>
    <w:p>
      <w:pPr>
        <w:jc w:val="left"/>
      </w:pPr>
      <w:r>
        <w:rPr>
          <w:i/>
        </w:rPr>
        <w:t>Drosselberg &amp; Partner Insolvenzrecht, Erfurt, 26. Mai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