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– Gläubigerausschuss – Protokoll der konstituierenden Sitzung</w:t>
      </w:r>
    </w:p>
    <w:p>
      <w:pPr>
        <w:jc w:val="left"/>
      </w:pPr>
      <w:r>
        <w:rPr>
          <w:b/>
        </w:rPr>
        <w:t>Datum:</w:t>
      </w:r>
      <w:r>
        <w:t xml:space="preserve"> 25. Juni 2026, 10:00–13:00 Uhr</w:t>
      </w:r>
    </w:p>
    <w:p>
      <w:pPr>
        <w:jc w:val="left"/>
      </w:pPr>
      <w:r>
        <w:rPr>
          <w:b/>
        </w:rPr>
        <w:t>Ort:</w:t>
      </w:r>
      <w:r>
        <w:t xml:space="preserve"> Amtsgericht Erfurt, Saal 214, Domplatz 1, 99084 Erfurt</w:t>
      </w:r>
    </w:p>
    <w:p>
      <w:pPr>
        <w:jc w:val="left"/>
      </w:pPr>
      <w:r>
        <w:rPr>
          <w:b/>
        </w:rPr>
        <w:t>Vorsitzende:</w:t>
      </w:r>
      <w:r>
        <w:t xml:space="preserve"> Richterin Sabine Kern (AG Erfurt, Insolvenzgericht)</w:t>
      </w:r>
    </w:p>
    <w:p>
      <w:pPr>
        <w:jc w:val="left"/>
      </w:pPr>
      <w:r>
        <w:rPr>
          <w:b/>
        </w:rPr>
        <w:t>Sachwalter:</w:t>
      </w:r>
      <w:r>
        <w:t xml:space="preserve"> RA Dr. Henrik Sonnenschein</w:t>
      </w:r>
    </w:p>
    <w:p/>
    <w:p>
      <w:pPr>
        <w:pStyle w:val="Heading2"/>
      </w:pPr>
      <w:r>
        <w:rPr>
          <w:rFonts w:ascii="Times New Roman" w:hAnsi="Times New Roman"/>
        </w:rPr>
        <w:t>Teilnehmerliste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Vertreten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Hendrik Krause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Gläubigerausschuss-Mitglied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Sparkasse Mittelthüringen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Christian Lauterbach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Gläubigerausschuss-Mitglied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Aluminium Stade GmbH &amp; Co. KG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Manfred Voß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Gläubigerausschuss-Mitglied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Magnesium Manfred Voß KG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RR Stefan Neubauer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Gläubigerausschuss-Mitglied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Finanzamt Erfurt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Karl-Heinz Möller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Gläubigerausschuss-Mitglied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Betriebsrat (Arbeitnehmerinteressen)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Dr. Henrik Sonnenschein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Vorläufiger Sachwalter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 Erfurt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Dr. Maximilian Drosselberg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Sanierungsberater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Großbach KG (Beobachter)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Bertha Großbach-Riemenschneider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Eigenverwaltung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Schuldnerin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RAin Claudia Feuerbach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Beisitzerin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Drosselberg &amp; Partner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TOP 1: Konstituierung und Wahl des Vorsitzenden</w:t>
      </w:r>
    </w:p>
    <w:p>
      <w:pPr>
        <w:jc w:val="left"/>
      </w:pPr>
      <w:r>
        <w:t>Richterin Kern eröffnete die Sitzung und stellte die ordnungsgemäße Ladung aller</w:t>
      </w:r>
    </w:p>
    <w:p>
      <w:pPr>
        <w:jc w:val="left"/>
      </w:pPr>
      <w:r>
        <w:t>Ausschussmitglieder fest. Der Gläubigerausschuss ist gemäß § 70 InsO aus fünf Mitgliedern</w:t>
      </w:r>
    </w:p>
    <w:p>
      <w:pPr>
        <w:jc w:val="left"/>
      </w:pPr>
      <w:r>
        <w:t>zusammengesetzt, die die wesentlichen Gläubigergruppen sowie die Arbeitnehmer repräsentieren.</w:t>
      </w:r>
    </w:p>
    <w:p>
      <w:pPr>
        <w:jc w:val="left"/>
      </w:pPr>
      <w:r>
        <w:rPr>
          <w:b/>
        </w:rPr>
        <w:t>Wahl des Ausschussvorsitzenden:</w:t>
      </w:r>
    </w:p>
    <w:p>
      <w:pPr>
        <w:jc w:val="left"/>
      </w:pPr>
      <w:r>
        <w:t>Hendrik Krause (Sparkasse) wird einstimmig zum Vorsitzenden des Gläubigerausschusses</w:t>
      </w:r>
    </w:p>
    <w:p>
      <w:pPr>
        <w:jc w:val="left"/>
      </w:pPr>
      <w:r>
        <w:t>gewählt. Stellvertreter: RA Christian Lauterbach.</w:t>
      </w:r>
    </w:p>
    <w:p/>
    <w:p>
      <w:pPr>
        <w:pStyle w:val="Heading2"/>
      </w:pPr>
      <w:r>
        <w:rPr>
          <w:rFonts w:ascii="Times New Roman" w:hAnsi="Times New Roman"/>
        </w:rPr>
        <w:t>TOP 2: Bericht des Sachwalters (Dr. Sonnenschein)</w:t>
      </w:r>
    </w:p>
    <w:p>
      <w:pPr>
        <w:jc w:val="left"/>
      </w:pPr>
      <w:r>
        <w:t>Dr. Sonnenschein trug seinen Zwischenbericht vor (vgl. Aktenstück 19 – Sachwalter-Bericht).</w:t>
      </w:r>
    </w:p>
    <w:p>
      <w:pPr>
        <w:jc w:val="left"/>
      </w:pPr>
      <w:r>
        <w:t>Wesentliche Punkte:</w:t>
      </w:r>
    </w:p>
    <w:p>
      <w:pPr>
        <w:pStyle w:val="ListBullet"/>
      </w:pPr>
      <w:r>
        <w:t>Betrieb läuft uneingeschränkt; keine Produktionsstopps</w:t>
      </w:r>
    </w:p>
    <w:p>
      <w:pPr>
        <w:pStyle w:val="ListBullet"/>
      </w:pPr>
      <w:r>
        <w:t>Insolvenzgeld wurde beantragt; Arbeitnehmer erhalten Lohnfortzahlung</w:t>
      </w:r>
    </w:p>
    <w:p>
      <w:pPr>
        <w:pStyle w:val="ListBullet"/>
      </w:pPr>
      <w:r>
        <w:t>Buchhaltung ist ordnungsgemäß; keine Unterschlagungen oder Unregelmäßigkeiten festgestellt</w:t>
      </w:r>
    </w:p>
    <w:p>
      <w:pPr>
        <w:pStyle w:val="ListBullet"/>
      </w:pPr>
      <w:r>
        <w:t>Gesellschafterdarlehen-Rückzahlung (380 TEUR, 18.01.2026): Anfechtungsklage wird</w:t>
      </w:r>
    </w:p>
    <w:p>
      <w:pPr>
        <w:jc w:val="left"/>
      </w:pPr>
      <w:r>
        <w:t>vorbereitet; außergerichtliche Einigung angestrebt</w:t>
      </w:r>
    </w:p>
    <w:p>
      <w:pPr>
        <w:pStyle w:val="ListBullet"/>
      </w:pPr>
      <w:r>
        <w:t>BTC-Bestand Friedhelm Großbach: 8 BTC, ca. 612 TEUR – Verwertung als Sanierungsbeitrag</w:t>
      </w:r>
    </w:p>
    <w:p>
      <w:pPr>
        <w:jc w:val="left"/>
      </w:pPr>
      <w:r>
        <w:t>vereinbart; steuerrechtlich unbedenklich (&gt; 1 Jahr Haltedauer)</w:t>
      </w:r>
    </w:p>
    <w:p>
      <w:pPr>
        <w:jc w:val="left"/>
      </w:pPr>
      <w:r>
        <w:t>Manfred Voß meldete sich zu Wort:</w:t>
      </w:r>
    </w:p>
    <w:p>
      <w:pPr>
        <w:ind w:left="567"/>
      </w:pPr>
      <w:r>
        <w:rPr>
          <w:i/>
        </w:rPr>
        <w:t>„Ich will, dass das klar gesagt wird: Ich hätte das Geld längst haben müssen.</w:t>
      </w:r>
    </w:p>
    <w:p>
      <w:pPr>
        <w:ind w:left="567"/>
      </w:pPr>
      <w:r>
        <w:rPr>
          <w:i/>
        </w:rPr>
        <w:t>Die 50.000 EUR, die die Anwaltskanzlei angeboten hat, sind eine Beleidigung.</w:t>
      </w:r>
    </w:p>
    <w:p>
      <w:pPr>
        <w:ind w:left="567"/>
      </w:pPr>
      <w:r>
        <w:rPr>
          <w:i/>
        </w:rPr>
        <w:t>Ich erwarte mindestens 100.000 EUR sofort, dann reden wir über den Rest."</w:t>
      </w:r>
    </w:p>
    <w:p>
      <w:pPr>
        <w:jc w:val="left"/>
      </w:pPr>
      <w:r>
        <w:t>RA Lauterbach: „Ich unterstütze Herrn Voß. Aluminium Stade wartet ebenfalls.</w:t>
      </w:r>
    </w:p>
    <w:p>
      <w:pPr>
        <w:jc w:val="left"/>
      </w:pPr>
      <w:r>
        <w:t>Die Sofortzahlung von 80.000 EUR ist ein Signal, aber nicht ausreichend."</w:t>
      </w:r>
    </w:p>
    <w:p>
      <w:pPr>
        <w:jc w:val="left"/>
      </w:pPr>
      <w:r>
        <w:t>Krause (Sparkasse): „Meine Mandantin ist bereit, konstruktiv mitzuwirken. Der</w:t>
      </w:r>
    </w:p>
    <w:p>
      <w:pPr>
        <w:jc w:val="left"/>
      </w:pPr>
      <w:r>
        <w:t>DtE-Swap ist intern geprüft worden; das Gremium hat grundsätzlich zugestimmt.</w:t>
      </w:r>
    </w:p>
    <w:p>
      <w:pPr>
        <w:jc w:val="left"/>
      </w:pPr>
      <w:r>
        <w:t>Wir brauchen aber das Immobiliengutachten, bevor wir unterschreiben."</w:t>
      </w:r>
    </w:p>
    <w:p>
      <w:pPr>
        <w:jc w:val="left"/>
      </w:pPr>
      <w:r>
        <w:t>Richterin Kern: „Das Immobiliengutachten liegt seit 27. Mai 2026 vor (WSP Immobilien,</w:t>
      </w:r>
    </w:p>
    <w:p>
      <w:pPr>
        <w:jc w:val="left"/>
      </w:pPr>
      <w:r>
        <w:t>Gutachter Kaupe): Grundstückswert 3.280.000 EUR. Ich gehe davon aus, dass die</w:t>
      </w:r>
    </w:p>
    <w:p>
      <w:pPr>
        <w:jc w:val="left"/>
      </w:pPr>
      <w:r>
        <w:t>Sparkasse damit einverstanden ist."</w:t>
      </w:r>
    </w:p>
    <w:p>
      <w:pPr>
        <w:jc w:val="left"/>
      </w:pPr>
      <w:r>
        <w:t>Krause: „Ja, das ist ausreichend als Grundlage."</w:t>
      </w:r>
    </w:p>
    <w:p/>
    <w:p>
      <w:pPr>
        <w:pStyle w:val="Heading2"/>
      </w:pPr>
      <w:r>
        <w:rPr>
          <w:rFonts w:ascii="Times New Roman" w:hAnsi="Times New Roman"/>
        </w:rPr>
        <w:t>TOP 3: Stellungnahme Eigenverwaltung zum StaRUG-Plan</w:t>
      </w:r>
    </w:p>
    <w:p>
      <w:pPr>
        <w:jc w:val="left"/>
      </w:pPr>
      <w:r>
        <w:t>Bertha Großbach-Riemenschneider stellte den Planentwurf (Aktenstück 05) vor.</w:t>
      </w:r>
    </w:p>
    <w:p>
      <w:pPr>
        <w:jc w:val="left"/>
      </w:pPr>
      <w:r>
        <w:t>Kernpunkte:</w:t>
      </w:r>
    </w:p>
    <w:p>
      <w:pPr>
        <w:pStyle w:val="ListBullet"/>
      </w:pPr>
      <w:r>
        <w:t>Gruppe 1 (Sparkasse): DtE-Swap 2 Mio. EUR + Rangrücktritt + Tilgung; Einigung</w:t>
      </w:r>
    </w:p>
    <w:p>
      <w:pPr>
        <w:jc w:val="left"/>
      </w:pPr>
      <w:r>
        <w:t>grundsätzlich erreicht; Vertragstext in Vorbereitung</w:t>
      </w:r>
    </w:p>
    <w:p>
      <w:pPr>
        <w:pStyle w:val="ListBullet"/>
      </w:pPr>
      <w:r>
        <w:t>Gruppe 2 (Lieferanten): Verhandlungen laufen; Forderungsverzicht 20 % / Raten angeboten</w:t>
      </w:r>
    </w:p>
    <w:p>
      <w:pPr>
        <w:pStyle w:val="ListBullet"/>
      </w:pPr>
      <w:r>
        <w:t>Gruppe 3 (FA Erfurt): Stundungsantrag ausstehend; RR Neubauer: „Wir haben den Antrag</w:t>
      </w:r>
    </w:p>
    <w:p>
      <w:pPr>
        <w:jc w:val="left"/>
      </w:pPr>
      <w:r>
        <w:t>noch nicht beschieden, aber ich gehe von Genehmigung aus."</w:t>
      </w:r>
    </w:p>
    <w:p>
      <w:pPr>
        <w:pStyle w:val="ListBullet"/>
      </w:pPr>
      <w:r>
        <w:t>Gruppe 4 (Gesellschafterdarlehen): Rangrücktritt akzeptiert</w:t>
      </w:r>
    </w:p>
    <w:p>
      <w:pPr>
        <w:jc w:val="left"/>
      </w:pPr>
      <w:r>
        <w:t>Voß: „20 % Verzicht? Das akzeptiere ich nicht. Entweder 100 % oder ich stimme gegen den Plan."</w:t>
      </w:r>
    </w:p>
    <w:p>
      <w:pPr>
        <w:jc w:val="left"/>
      </w:pPr>
      <w:r>
        <w:t>Dr. Drosselberg: „Herr Voß, ich darf darauf hinweisen, dass das Gericht gemäß § 26 StaRUG</w:t>
      </w:r>
    </w:p>
    <w:p>
      <w:pPr>
        <w:jc w:val="left"/>
      </w:pPr>
      <w:r>
        <w:t>den Plan auch gegen eine ablehnende Gruppe bestätigen kann, sofern Sie durch den Plan</w:t>
      </w:r>
    </w:p>
    <w:p>
      <w:pPr>
        <w:jc w:val="left"/>
      </w:pPr>
      <w:r>
        <w:t>nicht schlechter gestellt werden als in der Regelinsolvenz. Ihre Quote dort wäre</w:t>
      </w:r>
    </w:p>
    <w:p>
      <w:pPr>
        <w:jc w:val="left"/>
      </w:pPr>
      <w:r>
        <w:t>ca. 4 % – weit weniger als die angebotenen 80 %."</w:t>
      </w:r>
    </w:p>
    <w:p>
      <w:pPr>
        <w:jc w:val="left"/>
      </w:pPr>
      <w:r>
        <w:t>Voß: „Das lasse ich prüfen."</w:t>
      </w:r>
    </w:p>
    <w:p/>
    <w:p>
      <w:pPr>
        <w:pStyle w:val="Heading2"/>
      </w:pPr>
      <w:r>
        <w:rPr>
          <w:rFonts w:ascii="Times New Roman" w:hAnsi="Times New Roman"/>
        </w:rPr>
        <w:t>TOP 4: Beschlüsse des Gläubigerausschusses</w:t>
      </w:r>
    </w:p>
    <w:p>
      <w:pPr>
        <w:jc w:val="left"/>
      </w:pPr>
      <w:r>
        <w:rPr>
          <w:b/>
        </w:rPr>
        <w:t>Beschluss 1:</w:t>
      </w:r>
      <w:r>
        <w:t xml:space="preserve"> Der Gläubigerausschuss nimmt den Sachwalter-Bericht zustimmend zur Kenntnis.</w:t>
      </w:r>
    </w:p>
    <w:p>
      <w:pPr>
        <w:jc w:val="left"/>
      </w:pPr>
      <w:r>
        <w:rPr>
          <w:i/>
        </w:rPr>
        <w:t>Abstimmung: 5:0 (einstimmig)</w:t>
      </w:r>
    </w:p>
    <w:p>
      <w:pPr>
        <w:jc w:val="left"/>
      </w:pPr>
      <w:r>
        <w:rPr>
          <w:b/>
        </w:rPr>
        <w:t>Beschluss 2:</w:t>
      </w:r>
      <w:r>
        <w:t xml:space="preserve"> Der Gläubigerausschuss genehmigt die Factoring-Vereinbarung mit Eurofactor</w:t>
      </w:r>
    </w:p>
    <w:p>
      <w:pPr>
        <w:jc w:val="left"/>
      </w:pPr>
      <w:r>
        <w:t>GmbH (Vorfinanzierung Debitorenforderungen, Volumen max. 1 Mio. EUR, Gebühr 2,8 % p.a.)</w:t>
      </w:r>
    </w:p>
    <w:p>
      <w:pPr>
        <w:jc w:val="left"/>
      </w:pPr>
      <w:r>
        <w:t>als Liquiditätssicherungsmaßnahme.</w:t>
      </w:r>
    </w:p>
    <w:p>
      <w:pPr>
        <w:jc w:val="left"/>
      </w:pPr>
      <w:r>
        <w:rPr>
          <w:i/>
        </w:rPr>
        <w:t>Abstimmung: 4:1 (Voß enthält sich)</w:t>
      </w:r>
    </w:p>
    <w:p>
      <w:pPr>
        <w:jc w:val="left"/>
      </w:pPr>
      <w:r>
        <w:rPr>
          <w:b/>
        </w:rPr>
        <w:t>Beschluss 3:</w:t>
      </w:r>
      <w:r>
        <w:t xml:space="preserve"> Die Abstimmung über den StaRUG-Plan wird für den </w:t>
      </w:r>
      <w:r>
        <w:rPr>
          <w:b/>
        </w:rPr>
        <w:t>15. Juli 2026, 10:00 Uhr</w:t>
      </w:r>
    </w:p>
    <w:p>
      <w:pPr>
        <w:jc w:val="left"/>
      </w:pPr>
      <w:r>
        <w:t>beim AG Erfurt (203 RES 7/26) terminiert. Alle Gläubiger erhalten Ladung bis 25. Juni 2026.</w:t>
      </w:r>
    </w:p>
    <w:p>
      <w:pPr>
        <w:jc w:val="left"/>
      </w:pPr>
      <w:r>
        <w:rPr>
          <w:i/>
        </w:rPr>
        <w:t>Abstimmung: 5:0 (einstimmig)</w:t>
      </w:r>
    </w:p>
    <w:p>
      <w:pPr>
        <w:jc w:val="left"/>
      </w:pPr>
      <w:r>
        <w:rPr>
          <w:b/>
        </w:rPr>
        <w:t>Beschluss 4:</w:t>
      </w:r>
      <w:r>
        <w:t xml:space="preserve"> Anfechtungsklage gegen Friedhelm Großbach (Gesellschafterdarlehen 380 TEUR):</w:t>
      </w:r>
    </w:p>
    <w:p>
      <w:pPr>
        <w:jc w:val="left"/>
      </w:pPr>
      <w:r>
        <w:t>Der Sachwalter wird bevollmächtigt, eine außergerichtliche Einigung anzustreben.</w:t>
      </w:r>
    </w:p>
    <w:p>
      <w:pPr>
        <w:jc w:val="left"/>
      </w:pPr>
      <w:r>
        <w:t>Falls bis 15.07.2026 keine Einigung, Klagebevollmächtigung des Sachwalters.</w:t>
      </w:r>
    </w:p>
    <w:p>
      <w:pPr>
        <w:jc w:val="left"/>
      </w:pPr>
      <w:r>
        <w:rPr>
          <w:i/>
        </w:rPr>
        <w:t>Abstimmung: 4:1 (Voß enthält sich erneut)</w:t>
      </w:r>
    </w:p>
    <w:p/>
    <w:p>
      <w:pPr>
        <w:pStyle w:val="Heading2"/>
      </w:pPr>
      <w:r>
        <w:rPr>
          <w:rFonts w:ascii="Times New Roman" w:hAnsi="Times New Roman"/>
        </w:rPr>
        <w:t>Nächster Termin</w:t>
      </w:r>
    </w:p>
    <w:p>
      <w:pPr>
        <w:jc w:val="left"/>
      </w:pPr>
      <w:r>
        <w:t xml:space="preserve">Zweite Sitzung Gläubigerausschuss: </w:t>
      </w:r>
      <w:r>
        <w:rPr>
          <w:b/>
        </w:rPr>
        <w:t>16. Juli 2026</w:t>
      </w:r>
      <w:r>
        <w:t xml:space="preserve"> (nach Planabstimmung 15.07.)</w:t>
      </w:r>
    </w:p>
    <w:p/>
    <w:p>
      <w:pPr>
        <w:jc w:val="left"/>
      </w:pPr>
      <w:r>
        <w:rPr>
          <w:i/>
        </w:rPr>
        <w:t>Protokoll: RAin Claudia Feuerbach (Beisitzerin)</w:t>
      </w:r>
    </w:p>
    <w:p>
      <w:pPr>
        <w:jc w:val="left"/>
      </w:pPr>
      <w:r>
        <w:rPr>
          <w:i/>
        </w:rPr>
        <w:t>Amtsgericht Erfurt – Gläubigerausschuss 203 IN 71/26 SA – 25. Juni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