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Zielpräzisierung und Grob-Inventur</w:t>
      </w:r>
    </w:p>
    <w:p>
      <w:pPr>
        <w:jc w:val="left"/>
      </w:pPr>
      <w:r>
        <w:rPr>
          <w:b/>
        </w:rPr>
        <w:t>Datum:</w:t>
      </w:r>
      <w:r>
        <w:t xml:space="preserve"> 02.06.2026, abends, Kanzleibüro Cottbus</w:t>
      </w:r>
    </w:p>
    <w:p>
      <w:pPr>
        <w:jc w:val="left"/>
      </w:pPr>
      <w:r>
        <w:rPr>
          <w:b/>
        </w:rPr>
        <w:t>Bearbeiterin:</w:t>
      </w:r>
      <w:r>
        <w:t xml:space="preserve"> RAin Hesselmann-Sauerbruch</w:t>
      </w:r>
    </w:p>
    <w:p>
      <w:pPr>
        <w:pStyle w:val="Heading2"/>
      </w:pPr>
      <w:r>
        <w:rPr>
          <w:rFonts w:ascii="Times New Roman" w:hAnsi="Times New Roman"/>
        </w:rPr>
        <w:t>Schritt 1 – Ziel formulieren (eine Zeile)</w:t>
      </w:r>
    </w:p>
    <w:p>
      <w:pPr>
        <w:ind w:left="567"/>
      </w:pPr>
      <w:r>
        <w:rPr>
          <w:i/>
        </w:rPr>
        <w:t>„Bis zum 30.06.2026 die Auszahlung der NordCap-Tranche 38 Mio EUR auslösen und die LEAG-Kündigungsdrohung abwenden, indem alle vertragsrelevanten Dokumente konsolidiert, Lücken geschlossen und Unterschriftsfehler beseitigt werden."</w:t>
      </w:r>
    </w:p>
    <w:p>
      <w:pPr>
        <w:pStyle w:val="Heading2"/>
      </w:pPr>
      <w:r>
        <w:rPr>
          <w:rFonts w:ascii="Times New Roman" w:hAnsi="Times New Roman"/>
        </w:rPr>
        <w:t>Schritt 2 – Grob-Inventur der Vertragsebenen</w:t>
      </w:r>
    </w:p>
    <w:p>
      <w:pPr>
        <w:pStyle w:val="ListNumber"/>
      </w:pPr>
      <w:r>
        <w:rPr>
          <w:b/>
        </w:rPr>
        <w:t>Pachtebene:</w:t>
      </w:r>
      <w:r>
        <w:t xml:space="preserve"> Pachtvertrag LEAG ./. LausitzStorage 200 (samt 2 Nachträgen)</w:t>
      </w:r>
    </w:p>
    <w:p>
      <w:pPr>
        <w:pStyle w:val="ListNumber"/>
      </w:pPr>
      <w:r>
        <w:rPr>
          <w:b/>
        </w:rPr>
        <w:t>Netzebene:</w:t>
      </w:r>
      <w:r>
        <w:t xml:space="preserve"> Netzanschlussbegehren + Netzanschlussvertrag 50Hertz (380-kV-Schaltanlage Jänschwalde West)</w:t>
      </w:r>
    </w:p>
    <w:p>
      <w:pPr>
        <w:pStyle w:val="ListNumber"/>
      </w:pPr>
      <w:r>
        <w:rPr>
          <w:b/>
        </w:rPr>
        <w:t>Genehmigungsebene:</w:t>
      </w:r>
      <w:r>
        <w:t xml:space="preserve"> BImSchG-Vorbescheid + Hauptantrag, Baugenehmigung Landkreis Spree-Neiße, naturschutzrechtliche Befreiung LfU</w:t>
      </w:r>
    </w:p>
    <w:p>
      <w:pPr>
        <w:pStyle w:val="ListNumber"/>
      </w:pPr>
      <w:r>
        <w:rPr>
          <w:b/>
        </w:rPr>
        <w:t>Finanzierungsebene:</w:t>
      </w:r>
      <w:r>
        <w:t xml:space="preserve"> Term Sheet NordCap, Senior-Darlehensvertrag NordCap, Wandeldarlehen NordCap, Konsortialvertrag mit Stadtwerke Cottbus, Bürgschaft Investitionsbank des Landes Brandenburg (ILB)</w:t>
      </w:r>
    </w:p>
    <w:p>
      <w:pPr>
        <w:pStyle w:val="ListNumber"/>
      </w:pPr>
      <w:r>
        <w:rPr>
          <w:b/>
        </w:rPr>
        <w:t>Gesellschaftsebene:</w:t>
      </w:r>
      <w:r>
        <w:t xml:space="preserve"> Gesellschaftsvertrag, Geschäftsführerbestellungen, Gesellschafterbeschlüsse</w:t>
      </w:r>
    </w:p>
    <w:p>
      <w:pPr>
        <w:pStyle w:val="ListNumber"/>
      </w:pPr>
      <w:r>
        <w:rPr>
          <w:b/>
        </w:rPr>
        <w:t>EPC-Ebene:</w:t>
      </w:r>
      <w:r>
        <w:t xml:space="preserve"> Errichtungs- und Liefervertrag mit Sungrow Europe / Voltalia (zwei konkurrierende Angebote, eins angenommen)</w:t>
      </w:r>
    </w:p>
    <w:p>
      <w:pPr>
        <w:pStyle w:val="Heading2"/>
      </w:pPr>
      <w:r>
        <w:rPr>
          <w:rFonts w:ascii="Times New Roman" w:hAnsi="Times New Roman"/>
        </w:rPr>
        <w:t>Schritt 3 – Schmerzpunkte</w:t>
      </w:r>
    </w:p>
    <w:p>
      <w:pPr>
        <w:pStyle w:val="ListBullet"/>
      </w:pPr>
      <w:r>
        <w:t>Drei Versionen des Pachtvertrages kursieren (LEAG-Entwurf v3, v5, v7) — unklar, welche unterzeichnet wurde</w:t>
      </w:r>
    </w:p>
    <w:p>
      <w:pPr>
        <w:pStyle w:val="ListBullet"/>
      </w:pPr>
      <w:r>
        <w:t>Wandeldarlehen NordCap verweist auf Gesellschafterbeschluss „vom 14.10.2025" — existiert dieser?</w:t>
      </w:r>
    </w:p>
    <w:p>
      <w:pPr>
        <w:pStyle w:val="ListBullet"/>
      </w:pPr>
      <w:r>
        <w:t xml:space="preserve">BImSchG-Vorbescheid liegt vor, </w:t>
      </w:r>
      <w:r>
        <w:rPr>
          <w:b/>
        </w:rPr>
        <w:t>Hauptgenehmigung fehlt</w:t>
      </w:r>
      <w:r>
        <w:t xml:space="preserve"> noch</w:t>
      </w:r>
    </w:p>
    <w:p>
      <w:pPr>
        <w:pStyle w:val="ListBullet"/>
      </w:pPr>
      <w:r>
        <w:t>Bürgschaft ILB: Avalrahmen ja, Einzelaval für 50Hertz-Sicherheitsleistung unklar</w:t>
      </w:r>
    </w:p>
    <w:p>
      <w:pPr>
        <w:pStyle w:val="ListBullet"/>
      </w:pPr>
      <w:r>
        <w:t>Drawstop-Schreiben NordCap: Zugang nur per E-Mail – Empfangsbeweis?</w:t>
      </w:r>
    </w:p>
    <w:p>
      <w:pPr>
        <w:jc w:val="left"/>
      </w:pPr>
      <w:r>
        <w:t>— RAin Hesselmann-Sauerbruch, 02.06.2026, 22:40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