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1. Nachtrag zum Pachtvertrag – LEAG ./. LausitzStorage 200</w:t>
      </w:r>
    </w:p>
    <w:p>
      <w:pPr>
        <w:jc w:val="left"/>
      </w:pPr>
      <w:r>
        <w:rPr>
          <w:b/>
        </w:rPr>
        <w:t>Datum:</w:t>
      </w:r>
      <w:r>
        <w:t xml:space="preserve"> 09.10.2025</w:t>
      </w:r>
    </w:p>
    <w:p>
      <w:pPr>
        <w:jc w:val="left"/>
      </w:pPr>
      <w:r>
        <w:rPr>
          <w:b/>
        </w:rPr>
        <w:t>Form:</w:t>
      </w:r>
      <w:r>
        <w:t xml:space="preserve"> privatschriftlich (LEAG-Standardformular „Anlage 1")</w:t>
      </w:r>
    </w:p>
    <w:p>
      <w:pPr>
        <w:jc w:val="left"/>
      </w:pPr>
      <w:r>
        <w:rPr>
          <w:b/>
        </w:rPr>
        <w:t>Gegenstand:</w:t>
      </w:r>
      <w:r>
        <w:t xml:space="preserve"> Erweiterung der Pachtfläche um 0,42 ha (Flurstück 122/5, Teilfläche) zur Aufstellung einer 380/20-kV-Übergabestation für 50Hertz</w:t>
      </w:r>
    </w:p>
    <w:p>
      <w:pPr>
        <w:pStyle w:val="Heading2"/>
      </w:pPr>
      <w:r>
        <w:rPr>
          <w:rFonts w:ascii="Times New Roman" w:hAnsi="Times New Roman"/>
        </w:rPr>
        <w:t>Wichtigste Änderungen</w:t>
      </w:r>
    </w:p>
    <w:p>
      <w:pPr>
        <w:pStyle w:val="ListBullet"/>
      </w:pPr>
      <w:r>
        <w:t>Pachtfläche neu: 4,26 ha</w:t>
      </w:r>
    </w:p>
    <w:p>
      <w:pPr>
        <w:pStyle w:val="ListBullet"/>
      </w:pPr>
      <w:r>
        <w:t>Pachtzins erhöht auf 93.250 EUR/Jahr</w:t>
      </w:r>
    </w:p>
    <w:p>
      <w:pPr>
        <w:pStyle w:val="ListBullet"/>
      </w:pPr>
      <w:r>
        <w:t>§ 5 Abs. 1 unverändert (Bedingung BImSchG bleibt!)</w:t>
      </w:r>
    </w:p>
    <w:p>
      <w:pPr>
        <w:pStyle w:val="Heading2"/>
      </w:pPr>
      <w:r>
        <w:rPr>
          <w:rFonts w:ascii="Times New Roman" w:hAnsi="Times New Roman"/>
        </w:rPr>
        <w:t>Formproblem</w:t>
      </w:r>
    </w:p>
    <w:p>
      <w:pPr>
        <w:jc w:val="left"/>
      </w:pPr>
      <w:r>
        <w:rPr>
          <w:b/>
        </w:rPr>
        <w:t>§ 311b BGB verlangt notarielle Beurkundung</w:t>
      </w:r>
      <w:r>
        <w:t xml:space="preserve"> für langfristige Grundstückspachtverträge analog zum Grundstückskauf. </w:t>
      </w:r>
      <w:r>
        <w:rPr>
          <w:b/>
        </w:rPr>
        <w:t>Dieser Nachtrag ist privatschriftlich.</w:t>
      </w:r>
    </w:p>
    <w:p>
      <w:pPr>
        <w:jc w:val="left"/>
      </w:pPr>
      <w:r>
        <w:t xml:space="preserve">Strittig in der Literatur: Ob Erweiterungs-Nachträge zu bereits notariell beurkundetem Pachtvertrag der erneuten Beurkundung bedürfen. Herrschende Meinung: Ja, soweit der Nachtrag wesentliche Vertragsbestandteile (Pachtgegenstand, Pachtzins) ändert. Vgl. </w:t>
      </w:r>
      <w:r>
        <w:rPr>
          <w:b/>
        </w:rPr>
        <w:t>Palandt/Weidenkaff, BGB, 83. Aufl., § 311b Rn 24</w:t>
      </w:r>
      <w:r>
        <w:t>.</w:t>
      </w:r>
    </w:p>
    <w:p>
      <w:pPr>
        <w:pStyle w:val="Heading2"/>
      </w:pPr>
      <w:r>
        <w:rPr>
          <w:rFonts w:ascii="Times New Roman" w:hAnsi="Times New Roman"/>
        </w:rPr>
        <w:t>Risiko</w:t>
      </w:r>
    </w:p>
    <w:p>
      <w:pPr>
        <w:jc w:val="left"/>
      </w:pPr>
      <w:r>
        <w:t xml:space="preserve">LEAG könnte sich auf Formnichtigkeit des Nachtrags berufen und die zusätzlichen 0,42 ha herausverlangen – ohne dieses Flurstück steht aber die Übergabestation an falscher Stelle. Möglicherweise Heilung durch Eintragung gemäß </w:t>
      </w:r>
      <w:r>
        <w:rPr>
          <w:b/>
        </w:rPr>
        <w:t>§ 311b Abs. 1 Satz 2 BGB analog</w:t>
      </w:r>
      <w:r>
        <w:t xml:space="preserve"> (bei Erbbaurecht anerkannt, bei Pacht streitig).</w:t>
      </w:r>
    </w:p>
    <w:p>
      <w:pPr>
        <w:pStyle w:val="Heading2"/>
      </w:pPr>
      <w:r>
        <w:rPr>
          <w:rFonts w:ascii="Times New Roman" w:hAnsi="Times New Roman"/>
        </w:rPr>
        <w:t>Aktenlage</w:t>
      </w:r>
    </w:p>
    <w:p>
      <w:pPr>
        <w:jc w:val="left"/>
      </w:pPr>
      <w:r>
        <w:t xml:space="preserve">Privatschriftlich unterzeichnet, beide Originale: ein Exemplar LEAG, ein Exemplar LausitzStorage. </w:t>
      </w:r>
      <w:r>
        <w:rPr>
          <w:b/>
        </w:rPr>
        <w:t>Unterschrift Kosturek (LEAG) prüfen</w:t>
      </w:r>
      <w:r>
        <w:t xml:space="preserve"> – Prokura zu diesem Zeitpunkt nachweisbar?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