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2. Nachtrag zum Pachtvertrag – LEAG ./. LausitzStorage 200</w:t>
      </w:r>
    </w:p>
    <w:p>
      <w:pPr>
        <w:jc w:val="left"/>
      </w:pPr>
      <w:r>
        <w:rPr>
          <w:b/>
        </w:rPr>
        <w:t>Datum:</w:t>
      </w:r>
      <w:r>
        <w:t xml:space="preserve"> 14.02.2026</w:t>
      </w:r>
    </w:p>
    <w:p>
      <w:pPr>
        <w:jc w:val="left"/>
      </w:pPr>
      <w:r>
        <w:rPr>
          <w:b/>
        </w:rPr>
        <w:t>Form:</w:t>
      </w:r>
      <w:r>
        <w:t xml:space="preserve"> privatschriftlich</w:t>
      </w:r>
    </w:p>
    <w:p>
      <w:pPr>
        <w:jc w:val="left"/>
      </w:pPr>
      <w:r>
        <w:rPr>
          <w:b/>
        </w:rPr>
        <w:t>Gegenstand:</w:t>
      </w:r>
      <w:r>
        <w:t xml:space="preserve"> Verlängerung der Bedingungs-Frist gemäß § 5 Abs. 1 vom 31.12.2026 auf den 30.06.2027 wegen verzögerter UVP-Vorprüfung</w:t>
      </w:r>
    </w:p>
    <w:p>
      <w:pPr>
        <w:pStyle w:val="Heading2"/>
      </w:pPr>
      <w:r>
        <w:rPr>
          <w:rFonts w:ascii="Times New Roman" w:hAnsi="Times New Roman"/>
        </w:rPr>
        <w:t>Auffälligkeit</w:t>
      </w:r>
    </w:p>
    <w:p>
      <w:pPr>
        <w:pStyle w:val="ListBullet"/>
      </w:pPr>
      <w:r>
        <w:t xml:space="preserve">Im Text wird auf die „bestandskräftige Baugenehmigung" abgestellt – im Hauptvertrag steht aber „bestandskräftige BImSchG-Genehmigung". Das ist </w:t>
      </w:r>
      <w:r>
        <w:rPr>
          <w:b/>
        </w:rPr>
        <w:t>nicht dasselbe</w:t>
      </w:r>
      <w:r>
        <w:t>.</w:t>
      </w:r>
    </w:p>
    <w:p>
      <w:pPr>
        <w:pStyle w:val="ListBullet"/>
      </w:pPr>
      <w:r>
        <w:t>Möglicher Copy-Paste-Fehler aus einem Pachtvertrag-Muster für gewerbliche Hochbauvorhaben.</w:t>
      </w:r>
    </w:p>
    <w:p>
      <w:pPr>
        <w:pStyle w:val="ListBullet"/>
      </w:pPr>
      <w:r>
        <w:t>Auslegung nach §§ 133, 157 BGB: Welches Genehmigungsregime gilt?</w:t>
      </w:r>
    </w:p>
    <w:p>
      <w:pPr>
        <w:jc w:val="left"/>
      </w:pPr>
      <w:r>
        <w:t xml:space="preserve">Für eine 200-MW-BESS-Anlage greift in Brandenburg </w:t>
      </w:r>
      <w:r>
        <w:rPr>
          <w:b/>
        </w:rPr>
        <w:t>§ 4 BImSchG i.V.m. Nr. 9.36 der 4. BImSchV</w:t>
      </w:r>
      <w:r>
        <w:t xml:space="preserve"> (Großfeuerungsanlagen/Speicheranlagen ab bestimmter Leistung, abhängig von Auslegung) – die Klärung ist seit Anfang 2024 unter den Behörden umstritten. Möglicherweise zusätzlich Baugenehmigung des Landkreises Spree-Neiße erforderlich.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pStyle w:val="ListBullet"/>
      </w:pPr>
      <w:r>
        <w:t xml:space="preserve">LEAG: Vansel (allein) – </w:t>
      </w:r>
      <w:r>
        <w:rPr>
          <w:b/>
        </w:rPr>
        <w:t>Prokura-Single-Signature</w:t>
      </w:r>
      <w:r>
        <w:t xml:space="preserve"> trotz Vertretungsregelung „nur in Gemeinschaft mit einer weiteren Person"?</w:t>
      </w:r>
    </w:p>
    <w:p>
      <w:pPr>
        <w:pStyle w:val="ListBullet"/>
      </w:pPr>
      <w:r>
        <w:t>LausitzStorage: Bauernfeind</w:t>
      </w:r>
    </w:p>
    <w:p>
      <w:pPr>
        <w:pStyle w:val="Heading2"/>
      </w:pPr>
      <w:r>
        <w:rPr>
          <w:rFonts w:ascii="Times New Roman" w:hAnsi="Times New Roman"/>
        </w:rPr>
        <w:t>Akten-Notiz</w:t>
      </w:r>
    </w:p>
    <w:p>
      <w:pPr>
        <w:jc w:val="left"/>
      </w:pPr>
      <w:r>
        <w:t xml:space="preserve">Diese Unterschrift muss verifiziert werden! Im Handelsregister LEAG Immobilien GmbH steht Vansel als „nur gemeinschaftlich vertretungsberechtigt mit einem anderen Geschäftsführer oder einem Prokuristen". Wenn er allein unterzeichnet, ist </w:t>
      </w:r>
      <w:r>
        <w:rPr>
          <w:b/>
        </w:rPr>
        <w:t>§ 177 BGB</w:t>
      </w:r>
      <w:r>
        <w:t xml:space="preserve"> einschlägig – schwebende Unwirksamkeit.</w:t>
      </w:r>
    </w:p>
    <w:p>
      <w:pPr>
        <w:jc w:val="left"/>
      </w:pPr>
      <w:r>
        <w:t>— RAin Hesselmann-Sauerbruch, Vermerk 03.06.2026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