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Konsortialvertrag – Stadtwerke Cottbus Beteiligungs-GmbH</w:t>
      </w:r>
    </w:p>
    <w:p>
      <w:pPr>
        <w:jc w:val="left"/>
      </w:pPr>
      <w:r>
        <w:rPr>
          <w:b/>
        </w:rPr>
        <w:t>Datum:</w:t>
      </w:r>
      <w:r>
        <w:t xml:space="preserve"> 22.06.2025 (Term Sheet) / 30.11.2025 (Definitivvertrag)</w:t>
      </w:r>
    </w:p>
    <w:p>
      <w:pPr>
        <w:jc w:val="left"/>
      </w:pPr>
      <w:r>
        <w:rPr>
          <w:b/>
        </w:rPr>
        <w:t>Vertragsparteien:</w:t>
      </w:r>
      <w:r>
        <w:t xml:space="preserve"> Bauernfeind (51 %), Lindenthal (9 %), NordCap (30 %), Stadtwerke Cottbus (10 %)</w:t>
      </w:r>
    </w:p>
    <w:p>
      <w:pPr>
        <w:pStyle w:val="Heading2"/>
      </w:pPr>
      <w:r>
        <w:rPr>
          <w:rFonts w:ascii="Times New Roman" w:hAnsi="Times New Roman"/>
        </w:rPr>
        <w:t>Hauptpunkte</w:t>
      </w:r>
    </w:p>
    <w:p>
      <w:pPr>
        <w:pStyle w:val="ListBullet"/>
      </w:pPr>
      <w:r>
        <w:t>Stimmbindungspool für Beschlüsse über Kapitalmaßnahmen und Verkauf wesentlicher Vermögensgegenstände</w:t>
      </w:r>
    </w:p>
    <w:p>
      <w:pPr>
        <w:pStyle w:val="ListBullet"/>
      </w:pPr>
      <w:r>
        <w:t>Drag-along / Tag-along bei Trade Sale</w:t>
      </w:r>
    </w:p>
    <w:p>
      <w:pPr>
        <w:pStyle w:val="ListBullet"/>
      </w:pPr>
      <w:r>
        <w:t>Vorkaufsrecht der Stadtwerke Cottbus an Anteilen Bauernfeind/Lindenthal</w:t>
      </w:r>
    </w:p>
    <w:p>
      <w:pPr>
        <w:pStyle w:val="ListBullet"/>
      </w:pPr>
      <w:r>
        <w:t>Sonderklausel „Lausitzer Wertschöpfung": Mindestens 35 % der Bauleistungen sind an in Brandenburg ansässige Unternehmen zu vergeben</w:t>
      </w:r>
    </w:p>
    <w:p>
      <w:pPr>
        <w:pStyle w:val="Heading2"/>
      </w:pPr>
      <w:r>
        <w:rPr>
          <w:rFonts w:ascii="Times New Roman" w:hAnsi="Times New Roman"/>
        </w:rPr>
        <w:t>❗ Bezugslücke</w:t>
      </w:r>
    </w:p>
    <w:p>
      <w:pPr>
        <w:jc w:val="left"/>
      </w:pPr>
      <w:r>
        <w:t>§ 8 Abs. 3 verweist auf eine Anlage 4 „Investorenrechte-Katalog Stadtwerke Cottbus".</w:t>
      </w:r>
    </w:p>
    <w:p>
      <w:pPr>
        <w:jc w:val="left"/>
      </w:pPr>
      <w:r>
        <w:rPr>
          <w:b/>
        </w:rPr>
        <w:t>Diese Anlage 4 ist im überreichten Vertragsexemplar nicht vorhanden.</w:t>
      </w:r>
      <w:r>
        <w:t xml:space="preserve"> Verfügbar sind nur Anlagen 1, 2, 3, 5.</w:t>
      </w:r>
    </w:p>
    <w:p>
      <w:pPr>
        <w:jc w:val="left"/>
      </w:pPr>
      <w:r>
        <w:t>NordCap zitiert diese Lücke im Drawstop-Schreiben (Akte 13) als „documentation gap".</w:t>
      </w:r>
    </w:p>
    <w:p>
      <w:pPr>
        <w:pStyle w:val="Heading2"/>
      </w:pPr>
      <w:r>
        <w:rPr>
          <w:rFonts w:ascii="Times New Roman" w:hAnsi="Times New Roman"/>
        </w:rPr>
        <w:t>Klärungsbedarf</w:t>
      </w:r>
    </w:p>
    <w:p>
      <w:pPr>
        <w:pStyle w:val="ListBullet"/>
      </w:pPr>
      <w:r>
        <w:t>Bei den Stadtwerken Cottbus Anlage 4 anfordern</w:t>
      </w:r>
    </w:p>
    <w:p>
      <w:pPr>
        <w:pStyle w:val="ListBullet"/>
      </w:pPr>
      <w:r>
        <w:t>Klären, ob Anlage 4 jemals dem Vertrag beigeheftet war</w:t>
      </w:r>
    </w:p>
    <w:p>
      <w:pPr>
        <w:pStyle w:val="ListBullet"/>
      </w:pPr>
      <w:r>
        <w:t>Bei Negativ-Bestätigung: Side-Letter unterzeichnen</w:t>
      </w:r>
    </w:p>
    <w:p>
      <w:pPr>
        <w:pStyle w:val="Heading2"/>
      </w:pPr>
      <w:r>
        <w:rPr>
          <w:rFonts w:ascii="Times New Roman" w:hAnsi="Times New Roman"/>
        </w:rPr>
        <w:t>Unterzeichnung Definitivvertrag</w:t>
      </w:r>
    </w:p>
    <w:p>
      <w:pPr>
        <w:jc w:val="left"/>
      </w:pPr>
      <w:r>
        <w:t>Privatschriftlich, alle vier Parteien.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