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Drawstop-Schreiben NordCap Infrastructure Fund SCS</w:t>
      </w:r>
    </w:p>
    <w:p>
      <w:pPr>
        <w:jc w:val="left"/>
      </w:pPr>
      <w:r>
        <w:rPr>
          <w:b/>
        </w:rPr>
        <w:t>Versendet:</w:t>
      </w:r>
      <w:r>
        <w:t xml:space="preserve"> per E-Mail am </w:t>
      </w:r>
      <w:r>
        <w:rPr>
          <w:b/>
        </w:rPr>
        <w:t>22.05.2026, 17:42 Uhr</w:t>
      </w:r>
      <w:r>
        <w:t xml:space="preserve"> an karlheinz.bauernfeind@lausitzstorage.de (cc: petra.lindenthal@..., friederike.hesselmann@pohlmann-recht.de)</w:t>
      </w:r>
    </w:p>
    <w:p>
      <w:pPr>
        <w:jc w:val="left"/>
      </w:pPr>
      <w:r>
        <w:rPr>
          <w:b/>
        </w:rPr>
        <w:t>Schriftlich nachgereicht:</w:t>
      </w:r>
      <w:r>
        <w:t xml:space="preserve"> per Einwurf-Einschreiben, </w:t>
      </w:r>
      <w:r>
        <w:rPr>
          <w:b/>
        </w:rPr>
        <w:t>abgesendet 22.05.2026</w:t>
      </w:r>
      <w:r>
        <w:t xml:space="preserve"> – Zugang am </w:t>
      </w:r>
      <w:r>
        <w:rPr>
          <w:b/>
        </w:rPr>
        <w:t>Empfangsort beim Adressaten am 26.05.2026 nicht überprüft (Eingangsstempel fehlt!)</w:t>
      </w:r>
    </w:p>
    <w:p>
      <w:pPr>
        <w:pStyle w:val="Heading2"/>
      </w:pPr>
      <w:r>
        <w:rPr>
          <w:rFonts w:ascii="Times New Roman" w:hAnsi="Times New Roman"/>
        </w:rPr>
        <w:t>Inhalt (Zitat)</w:t>
      </w:r>
    </w:p>
    <w:p>
      <w:pPr>
        <w:ind w:left="567"/>
      </w:pPr>
      <w:r>
        <w:rPr>
          <w:i/>
        </w:rPr>
        <w:t>„Sehr geehrter Herr Bauernfeind,</w:t>
      </w:r>
    </w:p>
    <w:p>
      <w:pPr>
        <w:ind w:left="567"/>
      </w:pPr>
      <w:r>
        <w:rPr>
          <w:i/>
        </w:rPr>
        <w:t>... ziehen wir hiermit gemäß § 7 Abs. 4 des Senior-Darlehensvertrages vom 04.09.2025 die Auszahlung der Tranche 2 in Höhe von EUR 38.000.000 zurück (drawstop). Die Auszahlung wird bis zur vollständigen Heilung folgender Punkte ausgesetzt:</w:t>
      </w:r>
    </w:p>
    <w:p>
      <w:pPr>
        <w:ind w:left="567"/>
      </w:pPr>
    </w:p>
    <w:p>
      <w:pPr>
        <w:ind w:left="567"/>
      </w:pPr>
      <w:r>
        <w:rPr>
          <w:i/>
        </w:rPr>
        <w:t>(i) bestandskräftiger BImSchG-Hauptbescheid (statt Vorbescheid),</w:t>
      </w:r>
    </w:p>
    <w:p>
      <w:pPr>
        <w:ind w:left="567"/>
      </w:pPr>
      <w:r>
        <w:rPr>
          <w:i/>
        </w:rPr>
        <w:t>(ii) Heilung der Datums-Diskrepanz im Wandeldarlehen (§ 4 verweist auf 14.10.2025, existent ist 17.10.2025),</w:t>
      </w:r>
    </w:p>
    <w:p>
      <w:pPr>
        <w:ind w:left="567"/>
      </w:pPr>
      <w:r>
        <w:rPr>
          <w:i/>
        </w:rPr>
        <w:t>(iii) Übergabe der Anlage 4 zum Konsortialvertrag Stadtwerke Cottbus,</w:t>
      </w:r>
    </w:p>
    <w:p>
      <w:pPr>
        <w:ind w:left="567"/>
      </w:pPr>
      <w:r>
        <w:rPr>
          <w:i/>
        </w:rPr>
        <w:t>(iv) bestätigte Sicherheitsleistung 50Hertz (4,4 Mio EUR Einzelaval),</w:t>
      </w:r>
    </w:p>
    <w:p>
      <w:pPr>
        <w:ind w:left="567"/>
      </w:pPr>
      <w:r>
        <w:rPr>
          <w:i/>
        </w:rPr>
        <w:t>(v) Klarstellung Genehmigungsregime gemäß § 5 Abs. 1 Pachtvertrag iVm 2. Nachtrag (BImSchG oder Baugenehmigung).</w:t>
      </w:r>
    </w:p>
    <w:p>
      <w:pPr>
        <w:ind w:left="567"/>
      </w:pPr>
    </w:p>
    <w:p>
      <w:pPr>
        <w:ind w:left="567"/>
      </w:pPr>
      <w:r>
        <w:rPr>
          <w:i/>
        </w:rPr>
        <w:t>..."</w:t>
      </w:r>
    </w:p>
    <w:p>
      <w:pPr>
        <w:pStyle w:val="Heading2"/>
      </w:pPr>
      <w:r>
        <w:rPr>
          <w:rFonts w:ascii="Times New Roman" w:hAnsi="Times New Roman"/>
        </w:rPr>
        <w:t>Rechtliche Einordnung</w:t>
      </w:r>
    </w:p>
    <w:p>
      <w:pPr>
        <w:pStyle w:val="ListBullet"/>
      </w:pPr>
      <w:r>
        <w:rPr>
          <w:b/>
        </w:rPr>
        <w:t>Zugang per E-Mail:</w:t>
      </w:r>
      <w:r>
        <w:t xml:space="preserve"> § 130 BGB – Zugang bei Geschäftsleuten im geschäftlichen Verkehr per E-Mail anerkannt, </w:t>
      </w:r>
      <w:r>
        <w:rPr>
          <w:b/>
        </w:rPr>
        <w:t>wenn der Empfänger den E-Mail-Kanal eröffnet hat</w:t>
      </w:r>
      <w:r>
        <w:t>. Bauernfeind hat im Senior-Vertrag § 21 ausdrücklich karlheinz.bauernfeind@lausitzstorage.de als „Notice-Adresse" benannt → Zugang am 22.05.2026, 17:42 Uhr.</w:t>
      </w:r>
    </w:p>
    <w:p>
      <w:pPr>
        <w:pStyle w:val="ListBullet"/>
      </w:pPr>
      <w:r>
        <w:rPr>
          <w:b/>
        </w:rPr>
        <w:t>Materielle Berechtigung:</w:t>
      </w:r>
      <w:r>
        <w:t xml:space="preserve"> Punkt (i) ist zweifelhaft – CP-Liste § 6 Abs. 2 verlangt nur Vorbescheid, nicht Hauptbescheid. Aber MAC-Klausel § 7 Abs. 4 ist offener formuliert.</w:t>
      </w:r>
    </w:p>
    <w:p>
      <w:pPr>
        <w:pStyle w:val="ListBullet"/>
      </w:pPr>
      <w:r>
        <w:t>Punkte (ii) – (v) sind dem Grunde nach „documentation gaps" und damit MAC-fähig.</w:t>
      </w:r>
    </w:p>
    <w:p>
      <w:pPr>
        <w:pStyle w:val="Heading2"/>
      </w:pPr>
      <w:r>
        <w:rPr>
          <w:rFonts w:ascii="Times New Roman" w:hAnsi="Times New Roman"/>
        </w:rPr>
        <w:t>Strategie</w:t>
      </w:r>
    </w:p>
    <w:p>
      <w:pPr>
        <w:pStyle w:val="ListNumber"/>
      </w:pPr>
      <w:r>
        <w:t>Punkt (ii) sofort durch Side-Letter heilen (Akte 22)</w:t>
      </w:r>
    </w:p>
    <w:p>
      <w:pPr>
        <w:pStyle w:val="ListNumber"/>
      </w:pPr>
      <w:r>
        <w:t>Punkt (iii) bei Stadtwerken Cottbus anfordern (Akte 21)</w:t>
      </w:r>
    </w:p>
    <w:p>
      <w:pPr>
        <w:pStyle w:val="ListNumber"/>
      </w:pPr>
      <w:r>
        <w:t>Punkt (iv) Aval 50Hertz aktiv vorantreiben (Akte 14)</w:t>
      </w:r>
    </w:p>
    <w:p>
      <w:pPr>
        <w:pStyle w:val="ListNumber"/>
      </w:pPr>
      <w:r>
        <w:t>Punkt (v) Klarstellungsschreiben LEAG ./. LausitzStorage erarbeiten</w:t>
      </w:r>
    </w:p>
    <w:p>
      <w:pPr>
        <w:pStyle w:val="ListNumber"/>
      </w:pPr>
      <w:r>
        <w:t>Punkt (i) zurückweisen: Vorbescheid genügt nach CP-Liste.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