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Cap Table – Version B (Geschäftsführung Bauernfeind, Stand 30.04.2026)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Stammkapital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 (%)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Karlheinz Bauernfeind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39.780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50,36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Petra Lindenthal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8,89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NordCap Infrastructure Fund SCS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24.180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30,61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Stadtwerke Cottbus Beteiligungs-GmbH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7.800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9,87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78.780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99,73</w:t>
            </w:r>
          </w:p>
        </w:tc>
      </w:tr>
    </w:tbl>
    <w:p>
      <w:pPr>
        <w:jc w:val="left"/>
      </w:pPr>
      <w:r>
        <w:t>Quelle: Internes Cap-Table-Sheet GF (selbstgepflegt).</w:t>
      </w:r>
    </w:p>
    <w:p>
      <w:pPr>
        <w:jc w:val="left"/>
      </w:pPr>
      <w:r>
        <w:rPr>
          <w:b/>
        </w:rPr>
        <w:t>Abweichung zur Notarlinie:</w:t>
      </w:r>
      <w:r>
        <w:t xml:space="preserve"> Hier ist NordCap um 780 EUR höher (24.180 statt 23.400), Gesamtsumme 78.780 statt 78.000.</w:t>
      </w:r>
    </w:p>
    <w:p>
      <w:pPr>
        <w:jc w:val="left"/>
      </w:pPr>
      <w:r>
        <w:t xml:space="preserve">Vermutung: Hier wurde bereits eine geplante, aber </w:t>
      </w:r>
      <w:r>
        <w:rPr>
          <w:b/>
        </w:rPr>
        <w:t>noch nicht beschlossene</w:t>
      </w:r>
      <w:r>
        <w:t xml:space="preserve"> Mini-Wandlung NordCap antizipiert (Andeutungen in NordCap-Mail vom 02.03.2026 – „Wir prüfen Teilwandlung Tranche 1 in 2026"). </w:t>
      </w:r>
      <w:r>
        <w:rPr>
          <w:b/>
        </w:rPr>
        <w:t>Diese Wandlung ist nicht durchgeführt.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