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Cap Table – Version C (Investor-Update Slidedeck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Stammkapital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 (%)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Karlheinz Bauernfeind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38.250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51,00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Petra Lindenthal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6.750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NordCap Infrastructure Fund SCS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Stadtwerke Cottbus Beteiligungs-GmbH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100,00</w:t>
            </w:r>
          </w:p>
        </w:tc>
      </w:tr>
    </w:tbl>
    <w:p>
      <w:pPr>
        <w:jc w:val="left"/>
      </w:pPr>
      <w:r>
        <w:t>Quelle: Slide 14 des Investor-Update-Pitches vom 12.05.2026.</w:t>
      </w:r>
    </w:p>
    <w:p>
      <w:pPr>
        <w:jc w:val="left"/>
      </w:pPr>
      <w:r>
        <w:rPr>
          <w:b/>
        </w:rPr>
        <w:t>Abweichung:</w:t>
      </w:r>
      <w:r>
        <w:t xml:space="preserve"> Stammkapital 75.000 EUR – ignoriert die Kapitalerhöhung Akte 10 (17.10.2025) auf 78.000 EUR vollständig. Vermutlich „Stand vor Erhöhung" eingespielt, nicht aktualisiert.</w:t>
      </w:r>
    </w:p>
    <w:p>
      <w:pPr>
        <w:pStyle w:val="Heading2"/>
      </w:pPr>
      <w:r>
        <w:rPr>
          <w:rFonts w:ascii="Times New Roman" w:hAnsi="Times New Roman"/>
        </w:rPr>
        <w:t>Konsequenz</w:t>
      </w:r>
    </w:p>
    <w:p>
      <w:pPr>
        <w:jc w:val="left"/>
      </w:pPr>
      <w:r>
        <w:t xml:space="preserve">Drei kursierende Cap Tables (78.000 / 78.780 / 75.000), keine mit der </w:t>
      </w:r>
      <w:r>
        <w:rPr>
          <w:b/>
        </w:rPr>
        <w:t>§ 40 GmbHG</w:t>
      </w:r>
      <w:r>
        <w:t xml:space="preserve">-Liste im Handelsregister übereinstimmend prüfbar (Handelsregisterauszug aktuell </w:t>
      </w:r>
      <w:r>
        <w:rPr>
          <w:b/>
        </w:rPr>
        <w:t>nicht angefordert</w:t>
      </w:r>
      <w:r>
        <w:t xml:space="preserve"> – siehe „Fehlend").</w:t>
      </w:r>
    </w:p>
    <w:p>
      <w:pPr>
        <w:jc w:val="left"/>
      </w:pPr>
      <w:r>
        <w:t>NordCap zitiert diese Inkonsistenzen indirekt in Drawstop-Punkt (iii) als „documentation gap".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