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E-Mail-Korrespondenz LEAG ./. LausitzStorage 200</w:t>
      </w:r>
    </w:p>
    <w:p>
      <w:pPr>
        <w:pStyle w:val="Heading2"/>
      </w:pPr>
      <w:r>
        <w:rPr>
          <w:rFonts w:ascii="Times New Roman" w:hAnsi="Times New Roman"/>
        </w:rPr>
        <w:t>E-Mail 1 – LEAG an LausitzStorage, 14.04.2026, 09:23 Uhr</w:t>
      </w:r>
    </w:p>
    <w:p>
      <w:pPr>
        <w:jc w:val="left"/>
      </w:pPr>
      <w:r>
        <w:t>Absender: holger.vansel@leag-immobilien.de</w:t>
      </w:r>
    </w:p>
    <w:p>
      <w:pPr>
        <w:ind w:left="567"/>
      </w:pPr>
      <w:r>
        <w:rPr>
          <w:i/>
        </w:rPr>
        <w:t>„Sehr geehrter Herr Bauernfeind,</w:t>
      </w:r>
    </w:p>
    <w:p>
      <w:pPr>
        <w:ind w:left="567"/>
      </w:pPr>
      <w:r>
        <w:rPr>
          <w:i/>
        </w:rPr>
        <w:t>wir stellen fest, dass uns die nach § 14 unseres Pachtvertrages monatlich vorzulegenden Fortschrittsberichte zum Genehmigungsverfahren seit Februar 2026 nicht mehr zugegangen sind. Wir bitten um Übersendung binnen 30 Tagen, andernfalls behalten wir uns die außerordentliche Kündigung vor."</w:t>
      </w:r>
    </w:p>
    <w:p>
      <w:pPr>
        <w:pStyle w:val="Heading2"/>
      </w:pPr>
      <w:r>
        <w:rPr>
          <w:rFonts w:ascii="Times New Roman" w:hAnsi="Times New Roman"/>
        </w:rPr>
        <w:t>E-Mail 2 – LausitzStorage an LEAG, 22.04.2026, 16:08 Uhr</w:t>
      </w:r>
    </w:p>
    <w:p>
      <w:pPr>
        <w:ind w:left="567"/>
      </w:pPr>
      <w:r>
        <w:rPr>
          <w:i/>
        </w:rPr>
        <w:t>„... übersenden wir mit gleicher Post die Fortschrittsberichte Februar bis April 2026 (Anlagen 1-3). ..."</w:t>
      </w:r>
    </w:p>
    <w:p>
      <w:pPr>
        <w:pStyle w:val="Heading2"/>
      </w:pPr>
      <w:r>
        <w:rPr>
          <w:rFonts w:ascii="Times New Roman" w:hAnsi="Times New Roman"/>
        </w:rPr>
        <w:t>E-Mail 3 – LEAG an LausitzStorage, 12.05.2026, 11:35 Uhr</w:t>
      </w:r>
    </w:p>
    <w:p>
      <w:pPr>
        <w:ind w:left="567"/>
      </w:pPr>
      <w:r>
        <w:rPr>
          <w:i/>
        </w:rPr>
        <w:t>„Die Berichte sind unvollständig: Es fehlt der Nachweis der Hauptantragstellung BImSchG. § 5 Abs. 1 Pachtvertrag setzt bestandskräftige Genehmigung bis 31.12.2026 voraus – wir halten daran fest. Sollte der Hauptantrag nicht bis 30.06.2026 gestellt sein, behalten wir uns die Kündigung gemäß § 14 vor."</w:t>
      </w:r>
    </w:p>
    <w:p>
      <w:pPr>
        <w:pStyle w:val="Heading2"/>
      </w:pPr>
      <w:r>
        <w:rPr>
          <w:rFonts w:ascii="Times New Roman" w:hAnsi="Times New Roman"/>
        </w:rPr>
        <w:t>E-Mail 4 – LausitzStorage an LEAG, 19.05.2026, 14:17 Uhr</w:t>
      </w:r>
    </w:p>
    <w:p>
      <w:pPr>
        <w:ind w:left="567"/>
      </w:pPr>
      <w:r>
        <w:rPr>
          <w:i/>
        </w:rPr>
        <w:t>„§ 5 Abs. 1 wurde durch den 2. Nachtrag auf 30.06.2027 verlängert. Auch der 1. Nachtrag enthält Anpassungen. Bitte halten Sie sich an die geänderte Frist."</w:t>
      </w:r>
    </w:p>
    <w:p>
      <w:pPr>
        <w:pStyle w:val="Heading2"/>
      </w:pPr>
      <w:r>
        <w:rPr>
          <w:rFonts w:ascii="Times New Roman" w:hAnsi="Times New Roman"/>
        </w:rPr>
        <w:t>E-Mail 5 – LEAG an LausitzStorage, 28.05.2026, 10:02 Uhr</w:t>
      </w:r>
    </w:p>
    <w:p>
      <w:pPr>
        <w:ind w:left="567"/>
      </w:pPr>
      <w:r>
        <w:rPr>
          <w:i/>
        </w:rPr>
        <w:t>„Der 2. Nachtrag spricht von ‚Baugenehmigung', der Hauptvertrag von ‚BImSchG-Genehmigung'. Es liegt eine erhebliche Unschärfe vor. Wir halten den 2. Nachtrag insoweit für widersprüchlich und beziehen uns weiterhin auf die ursprüngliche Frist 31.12.2026 (BImSchG). Wir erwarten verbindliche Klarstellung binnen 14 Tagen."</w:t>
      </w:r>
    </w:p>
    <w:p>
      <w:pPr>
        <w:jc w:val="left"/>
      </w:pPr>
      <w:r>
        <w:t xml:space="preserve">→ Frist LEAG-Klarstellung: </w:t>
      </w:r>
      <w:r>
        <w:rPr>
          <w:b/>
        </w:rPr>
        <w:t>11.06.2026</w:t>
      </w:r>
    </w:p>
    <w:p>
      <w:pPr>
        <w:pStyle w:val="Heading2"/>
      </w:pPr>
      <w:r>
        <w:rPr>
          <w:rFonts w:ascii="Times New Roman" w:hAnsi="Times New Roman"/>
        </w:rPr>
        <w:t>Anwaltliche Bewertung</w:t>
      </w:r>
    </w:p>
    <w:p>
      <w:pPr>
        <w:pStyle w:val="ListBullet"/>
      </w:pPr>
      <w:r>
        <w:t>Die Auslegung ist offen (§§ 133, 157 BGB); allerdings spricht systematisch viel dafür, dass „Baugenehmigung" im 2. Nachtrag versehentlich statt „BImSchG-Genehmigung" stand (Copy-Paste-Fehler aus Standard-Pachtvertrag)</w:t>
      </w:r>
    </w:p>
    <w:p>
      <w:pPr>
        <w:pStyle w:val="ListBullet"/>
      </w:pPr>
      <w:r>
        <w:t xml:space="preserve">Strategie: </w:t>
      </w:r>
      <w:r>
        <w:rPr>
          <w:b/>
        </w:rPr>
        <w:t>gemeinsamer Auslegungsvermerk</w:t>
      </w:r>
      <w:r>
        <w:t xml:space="preserve"> mit LEAG, </w:t>
      </w:r>
      <w:r>
        <w:rPr>
          <w:b/>
        </w:rPr>
        <w:t>plus</w:t>
      </w:r>
      <w:r>
        <w:t xml:space="preserve"> Klarstellungs-Nachtrag (notariell beurkundet)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