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Reparaturvereinbarung Wandeldarlehen NordCap (Entwurf)</w:t>
      </w:r>
    </w:p>
    <w:p>
      <w:pPr>
        <w:jc w:val="left"/>
      </w:pPr>
      <w:r>
        <w:rPr>
          <w:b/>
        </w:rPr>
        <w:t>Datum Entwurf:</w:t>
      </w:r>
      <w:r>
        <w:t xml:space="preserve"> 04.06.2026 (Pohlmann &amp; Pohlmann)</w:t>
      </w:r>
    </w:p>
    <w:p>
      <w:pPr>
        <w:jc w:val="left"/>
      </w:pPr>
      <w:r>
        <w:rPr>
          <w:b/>
        </w:rPr>
        <w:t>Form:</w:t>
      </w:r>
      <w:r>
        <w:t xml:space="preserve"> privatschriftlich (Side-Letter)</w:t>
      </w:r>
    </w:p>
    <w:p>
      <w:pPr>
        <w:pStyle w:val="Heading2"/>
      </w:pPr>
      <w:r>
        <w:rPr>
          <w:rFonts w:ascii="Times New Roman" w:hAnsi="Times New Roman"/>
        </w:rPr>
        <w:t>Präambel</w:t>
      </w:r>
    </w:p>
    <w:p>
      <w:pPr>
        <w:ind w:left="567"/>
      </w:pPr>
      <w:r>
        <w:rPr>
          <w:i/>
        </w:rPr>
        <w:t>„... Die Parteien bemerken, dass § 4 des Wandeldarlehens vom 04.09.2025 auf einen Gesellschafterbeschluss ‚vom 14.10.2025' Bezug nimmt. Tatsächlich existiert ein solcher Beschluss nicht; vorhanden ist der Gesellschafterbeschluss vom 17.10.2025 (UR-Nr. 387/2025 Notar Dr. Albers). Die Parteien sind sich einig, dass beide Seiten auf den Beschluss vom 17.10.2025 abzielten; es handelt sich um eine offensichtliche Unrichtigkeit im Sinne der §§ 133, 157 BGB."</w:t>
      </w:r>
    </w:p>
    <w:p>
      <w:pPr>
        <w:pStyle w:val="Heading2"/>
      </w:pPr>
      <w:r>
        <w:rPr>
          <w:rFonts w:ascii="Times New Roman" w:hAnsi="Times New Roman"/>
        </w:rPr>
        <w:t>Klarstellung</w:t>
      </w:r>
    </w:p>
    <w:p>
      <w:pPr>
        <w:ind w:left="567"/>
      </w:pPr>
      <w:r>
        <w:rPr>
          <w:i/>
        </w:rPr>
        <w:t>„§ 4 des Wandeldarlehens wird wie folgt klargestellt: Anstelle des Bezugs auf den ‚Gesellschafterbeschluss vom 14.10.2025' tritt der Bezug auf den ‚Gesellschafterbeschluss vom 17.10.2025, UR-Nr. 387/2025 Notar Dr. Albers, Berlin'. Im Übrigen bleibt das Wandeldarlehen unverändert."</w:t>
      </w:r>
    </w:p>
    <w:p>
      <w:pPr>
        <w:pStyle w:val="Heading2"/>
      </w:pPr>
      <w:r>
        <w:rPr>
          <w:rFonts w:ascii="Times New Roman" w:hAnsi="Times New Roman"/>
        </w:rPr>
        <w:t>Unterzeichnung geplant</w:t>
      </w:r>
    </w:p>
    <w:p>
      <w:pPr>
        <w:pStyle w:val="ListBullet"/>
      </w:pPr>
      <w:r>
        <w:t>NordCap (Le Bouëdec + Kraft)</w:t>
      </w:r>
    </w:p>
    <w:p>
      <w:pPr>
        <w:pStyle w:val="ListBullet"/>
      </w:pPr>
      <w:r>
        <w:t>LausitzStorage (Bauernfeind)</w:t>
      </w:r>
    </w:p>
    <w:p>
      <w:pPr>
        <w:pStyle w:val="ListBullet"/>
      </w:pPr>
      <w:r>
        <w:rPr>
          <w:b/>
        </w:rPr>
        <w:t>Empfehlung:</w:t>
      </w:r>
      <w:r>
        <w:t xml:space="preserve"> Mitzeichnung Notar Albers zur Verbindung mit UR-Nr. 387/2025 (nicht zwingend, aber dokumentationsförderlich)</w:t>
      </w:r>
    </w:p>
    <w:p>
      <w:pPr>
        <w:pStyle w:val="Heading2"/>
      </w:pPr>
      <w:r>
        <w:rPr>
          <w:rFonts w:ascii="Times New Roman" w:hAnsi="Times New Roman"/>
        </w:rPr>
        <w:t>Erwartete Wirkung</w:t>
      </w:r>
    </w:p>
    <w:p>
      <w:pPr>
        <w:pStyle w:val="ListBullet"/>
      </w:pPr>
      <w:r>
        <w:t>Drawstop-Punkt (ii) entfällt.</w:t>
      </w:r>
    </w:p>
    <w:p>
      <w:pPr>
        <w:pStyle w:val="ListBullet"/>
      </w:pPr>
      <w:r>
        <w:t>Klarheit für künftige Wandlung.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