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Lücken-Inventar – zu beschaffende Dokumente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Handelsregisterauszug LEAG Immobilien aktuell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(Online-Abruf HRB 8217 AG Cottbus)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Handelsregisterauszug LausitzStorage 200</w:t>
            </w:r>
            <w:r>
              <w:rPr>
                <w:rFonts w:ascii="Times New Roman" w:hAnsi="Times New Roman"/>
                <w:sz w:val="20"/>
              </w:rPr>
              <w:t xml:space="preserve"> (sobald i.G. erledigt)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 Albers / Registergericht Cottbus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offen, HRB-Eintragung läuft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Aktualisierte Gesellschafterliste § 40 GmbHG LausitzStorage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 Albers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BImSchG-Hauptantrag</w:t>
            </w:r>
            <w:r>
              <w:rPr>
                <w:rFonts w:ascii="Times New Roman" w:hAnsi="Times New Roman"/>
                <w:sz w:val="20"/>
              </w:rPr>
              <w:t xml:space="preserve"> (noch nicht gestellt)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LausitzStorage + Umweltgutachter Sweco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 (Drohfrist LEAG)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Anlage 4 Konsortialvertrag / Klarstellungs-Side-Letter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+ alle 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Reparaturvereinbarung Wandeldarlehen NordCap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+ NordCap + Bauernfeind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Genehmigung Vansel zu 1. Nachtrag Pacht</w:t>
            </w:r>
            <w:r>
              <w:rPr>
                <w:rFonts w:ascii="Times New Roman" w:hAnsi="Times New Roman"/>
                <w:sz w:val="20"/>
              </w:rPr>
              <w:t xml:space="preserve"> (§ 177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Genehmigung Kosturek zu 2. Nachtrag Pacht</w:t>
            </w:r>
            <w:r>
              <w:rPr>
                <w:rFonts w:ascii="Times New Roman" w:hAnsi="Times New Roman"/>
                <w:sz w:val="20"/>
              </w:rPr>
              <w:t xml:space="preserve"> (§ 177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Einzelaval 50Hertz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ILB-Komitee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18.06.2026 (Komitee), 30.06.2026 (50Hertz-Frist)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Aushändigungsbestätigung LEAG-Aval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LausitzStorage → LEAG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Klarstellungs-Nachtrag Pacht</w:t>
            </w:r>
            <w:r>
              <w:rPr>
                <w:rFonts w:ascii="Times New Roman" w:hAnsi="Times New Roman"/>
                <w:sz w:val="20"/>
              </w:rPr>
              <w:t xml:space="preserve"> „BImSchG vs. Baugenehmigung" (notariell)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+ Notar Albers + LEAG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11.06.2026 (Klarstellungsfrist LEAG)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Cap Table konsolidiert</w:t>
            </w:r>
            <w:r>
              <w:rPr>
                <w:rFonts w:ascii="Times New Roman" w:hAnsi="Times New Roman"/>
                <w:sz w:val="20"/>
              </w:rPr>
              <w:t xml:space="preserve"> (eine verbindliche Fassung)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StB Hentschel + Notar Albers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Empfehlung Reihenfolge</w:t>
      </w:r>
    </w:p>
    <w:p>
      <w:pPr>
        <w:pStyle w:val="ListNumber"/>
      </w:pPr>
      <w:r>
        <w:t>Heute (04.06.) – HRB-Auszug LEAG ziehen, Cap Table StB anstoßen</w:t>
      </w:r>
    </w:p>
    <w:p>
      <w:pPr>
        <w:pStyle w:val="ListNumber"/>
      </w:pPr>
      <w:r>
        <w:t>06.06. – Side-Letter Anlage 4 versenden</w:t>
      </w:r>
    </w:p>
    <w:p>
      <w:pPr>
        <w:pStyle w:val="ListNumber"/>
      </w:pPr>
      <w:r>
        <w:t>07.06. – Reparaturvereinbarung NordCap zur Mitzeichnung</w:t>
      </w:r>
    </w:p>
    <w:p>
      <w:pPr>
        <w:pStyle w:val="ListNumber"/>
      </w:pPr>
      <w:r>
        <w:t>09.06. – LEAG-Aval-Aushändigung</w:t>
      </w:r>
    </w:p>
    <w:p>
      <w:pPr>
        <w:pStyle w:val="ListNumber"/>
      </w:pPr>
      <w:r>
        <w:t>10.06. – Klarstellungs-Nachtrag Pacht im Notartermin</w:t>
      </w:r>
    </w:p>
    <w:p>
      <w:pPr>
        <w:pStyle w:val="ListNumber"/>
      </w:pPr>
      <w:r>
        <w:t>11.06. – Frist LEAG-Klarstellung abgedeckt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