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Ampelsystem – Gesamtstatus zum Stichtag 04.06.2026</w:t>
      </w:r>
    </w:p>
    <w:p>
      <w:pPr>
        <w:pStyle w:val="Heading2"/>
      </w:pPr>
      <w:r>
        <w:rPr>
          <w:rFonts w:ascii="Times New Roman" w:hAnsi="Times New Roman"/>
        </w:rPr>
        <w:t>🟢 GRÜN (vorhanden, prüfungsgesichert)</w:t>
      </w:r>
    </w:p>
    <w:p>
      <w:pPr>
        <w:pStyle w:val="ListBullet"/>
      </w:pPr>
      <w:r>
        <w:t>Pachtvertrag LEAG Hauptvertrag (Akte 03) – notariell beurkundet, prüfungssicher</w:t>
      </w:r>
    </w:p>
    <w:p>
      <w:pPr>
        <w:pStyle w:val="ListBullet"/>
      </w:pPr>
      <w:r>
        <w:t>Senior-Darlehensvertrag NordCap (Akte 08) – vollständig unterzeichnet</w:t>
      </w:r>
    </w:p>
    <w:p>
      <w:pPr>
        <w:pStyle w:val="ListBullet"/>
      </w:pPr>
      <w:r>
        <w:t>Wandeldarlehen NordCap (Akte 09, materiell) – nur Datumsfehler in § 4 (heilbar via Akte 22)</w:t>
      </w:r>
    </w:p>
    <w:p>
      <w:pPr>
        <w:pStyle w:val="ListBullet"/>
      </w:pPr>
      <w:r>
        <w:t>Gesellschafterbeschluss 17.10.2025 (Akte 10) – notariell beurkundet</w:t>
      </w:r>
    </w:p>
    <w:p>
      <w:pPr>
        <w:pStyle w:val="ListBullet"/>
      </w:pPr>
      <w:r>
        <w:t>Konsortialvertrag (Akte 11) – Hauptteil ok, nur Anlage 4 fehlt (heilbar via Akte 21)</w:t>
      </w:r>
    </w:p>
    <w:p>
      <w:pPr>
        <w:pStyle w:val="ListBullet"/>
      </w:pPr>
      <w:r>
        <w:t>Avalrahmenvertrag ILB (Akte 12) – vollständig</w:t>
      </w:r>
    </w:p>
    <w:p>
      <w:pPr>
        <w:pStyle w:val="ListBullet"/>
      </w:pPr>
      <w:r>
        <w:t>Aval-Urkunde LEAG (Akte 15) – vollständig (nur Aushändigung an LEAG nachzuholen)</w:t>
      </w:r>
    </w:p>
    <w:p>
      <w:pPr>
        <w:pStyle w:val="ListBullet"/>
      </w:pPr>
      <w:r>
        <w:t>BImSchG-Vorbescheid (Akte 07) – bestandskräftig</w:t>
      </w:r>
    </w:p>
    <w:p>
      <w:pPr>
        <w:pStyle w:val="Heading2"/>
      </w:pPr>
      <w:r>
        <w:rPr>
          <w:rFonts w:ascii="Times New Roman" w:hAnsi="Times New Roman"/>
        </w:rPr>
        <w:t>🟡 GELB (in Bearbeitung, fristbehaftet, lösbar)</w:t>
      </w:r>
    </w:p>
    <w:p>
      <w:pPr>
        <w:pStyle w:val="ListBullet"/>
      </w:pPr>
      <w:r>
        <w:t>1. Nachtrag Pacht (Akte 04) – § 177 BGB schwebend unwirksam, Heilung in Arbeit</w:t>
      </w:r>
    </w:p>
    <w:p>
      <w:pPr>
        <w:pStyle w:val="ListBullet"/>
      </w:pPr>
      <w:r>
        <w:t>2. Nachtrag Pacht (Akte 05) – § 177 BGB + Auslegungs-Klarstellungsbedarf</w:t>
      </w:r>
    </w:p>
    <w:p>
      <w:pPr>
        <w:pStyle w:val="ListBullet"/>
      </w:pPr>
      <w:r>
        <w:t>Einzelaval 50Hertz (Akte 14) – im ILB-Komitee, Frist knapp</w:t>
      </w:r>
    </w:p>
    <w:p>
      <w:pPr>
        <w:pStyle w:val="ListBullet"/>
      </w:pPr>
      <w:r>
        <w:t>Cap Table (Akten 16/17/18) – drei Versionen, Konsolidierung läuft</w:t>
      </w:r>
    </w:p>
    <w:p>
      <w:pPr>
        <w:pStyle w:val="ListBullet"/>
      </w:pPr>
      <w:r>
        <w:t>Drawstop NordCap (Akte 13) – Heilungsschritte (i)-(v) sortiert; (ii) und (iii) heute geheilt</w:t>
      </w:r>
    </w:p>
    <w:p>
      <w:pPr>
        <w:pStyle w:val="Heading2"/>
      </w:pPr>
      <w:r>
        <w:rPr>
          <w:rFonts w:ascii="Times New Roman" w:hAnsi="Times New Roman"/>
        </w:rPr>
        <w:t>🔴 ROT (fehlend / kritisch)</w:t>
      </w:r>
    </w:p>
    <w:p>
      <w:pPr>
        <w:pStyle w:val="ListBullet"/>
      </w:pPr>
      <w:r>
        <w:t>BImSchG-Hauptantrag noch nicht gestellt (Frist Pachtvertrag § 5 + LEAG-Drohung)</w:t>
      </w:r>
    </w:p>
    <w:p>
      <w:pPr>
        <w:pStyle w:val="ListBullet"/>
      </w:pPr>
      <w:r>
        <w:t>Klarstellungs-Nachtrag Pacht „BImSchG vs. Baugenehmigung" nicht unterzeichnet</w:t>
      </w:r>
    </w:p>
    <w:p>
      <w:pPr>
        <w:pStyle w:val="ListBullet"/>
      </w:pPr>
      <w:r>
        <w:t>HRB-Eintragung LausitzStorage steht noch aus (i.G.-Phase!)</w:t>
      </w:r>
    </w:p>
    <w:p>
      <w:pPr>
        <w:pStyle w:val="ListBullet"/>
      </w:pPr>
      <w:r>
        <w:t>Aushändigungsbestätigung Aval an LEAG fehlt</w:t>
      </w:r>
    </w:p>
    <w:p>
      <w:pPr>
        <w:pStyle w:val="Heading2"/>
      </w:pPr>
      <w:r>
        <w:rPr>
          <w:rFonts w:ascii="Times New Roman" w:hAnsi="Times New Roman"/>
        </w:rPr>
        <w:t>Empfehlung an Mandantin</w:t>
      </w:r>
    </w:p>
    <w:p>
      <w:pPr>
        <w:jc w:val="left"/>
      </w:pPr>
      <w:r>
        <w:t xml:space="preserve">Die Lage ist </w:t>
      </w:r>
      <w:r>
        <w:rPr>
          <w:b/>
        </w:rPr>
        <w:t>stabilisierbar, aber zeitkritisch</w:t>
      </w:r>
      <w:r>
        <w:t>. Innerhalb von 14 Tagen können alle 🟡-Punkte auf 🟢 gebracht werden, sofern Notartermin 10.06., ILB-Komitee 18.06. und Side-Letter-Umlauf zügig gefahren werden.</w:t>
      </w:r>
    </w:p>
    <w:p>
      <w:pPr>
        <w:jc w:val="left"/>
      </w:pPr>
      <w:r>
        <w:t>Bei den 🔴-Punkten ist insbesondere der BImSchG-Hauptantrag der größte Hebel: Stellt LausitzStorage diesen bis 30.06.2026 nachweislich, neutralisiert das gleichzeitig die LEAG-Drohung und einen Großteil der NordCap-MAC-Begründung.</w:t>
      </w:r>
    </w:p>
    <w:p>
      <w:pPr>
        <w:jc w:val="left"/>
      </w:pPr>
      <w:r>
        <w:t>— RAin Dr. Friederike Hesselmann-Sauerbruch, 04.06.2026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