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Aktennotiz: Telefonat NordCap-Investment-Direktor Dr. Niederee</w:t>
      </w:r>
    </w:p>
    <w:p>
      <w:pPr>
        <w:jc w:val="left"/>
      </w:pPr>
      <w:r>
        <w:rPr>
          <w:b/>
        </w:rPr>
        <w:t>Datum:</w:t>
      </w:r>
      <w:r>
        <w:t xml:space="preserve"> Dienstag, 03.06.2026, 11:45-12:18 Uhr (33 Minuten)</w:t>
      </w:r>
    </w:p>
    <w:p>
      <w:pPr>
        <w:jc w:val="left"/>
      </w:pPr>
      <w:r>
        <w:rPr>
          <w:b/>
        </w:rPr>
        <w:t>Anrufer:</w:t>
      </w:r>
      <w:r>
        <w:t xml:space="preserve"> RAin Hesselmann-Sauerbruch (in Cottbus, Mandantenbuero)</w:t>
      </w:r>
    </w:p>
    <w:p>
      <w:pPr>
        <w:jc w:val="left"/>
      </w:pPr>
      <w:r>
        <w:rPr>
          <w:b/>
        </w:rPr>
        <w:t>Gesprachspartner:</w:t>
      </w:r>
      <w:r>
        <w:t xml:space="preserve"> Dr. Felix Niederee, Investment-Direktor NordCap Infrastructure Fund SCS, Luxemburg</w:t>
      </w:r>
    </w:p>
    <w:p>
      <w:pPr>
        <w:jc w:val="left"/>
      </w:pPr>
      <w:r>
        <w:rPr>
          <w:b/>
        </w:rPr>
        <w:t>Aktenzeichen:</w:t>
      </w:r>
      <w:r>
        <w:t xml:space="preserve"> PoPo-2026-WR-0211</w:t>
      </w:r>
    </w:p>
    <w:p>
      <w:pPr>
        <w:pStyle w:val="Heading2"/>
      </w:pPr>
      <w:r>
        <w:rPr>
          <w:rFonts w:ascii="Times New Roman" w:hAnsi="Times New Roman"/>
        </w:rPr>
        <w:t>Gegenstand</w:t>
      </w:r>
    </w:p>
    <w:p>
      <w:pPr>
        <w:jc w:val="left"/>
      </w:pPr>
      <w:r>
        <w:t>Reparaturverhandlung zum Drawstop-Schreiben vom 22.05.2026; insbesondere zu den fuenf Heilungspunkten (i) BImSchG-Hauptbescheid, (ii) Datums-Diskrepanz Wandeldarlehen § 4, (iii) Anlage 4 Konsortialvertrag, (iv) Aval 50Hertz, (v) Genehmigungsregime Pacht.</w:t>
      </w:r>
    </w:p>
    <w:p>
      <w:pPr>
        <w:pStyle w:val="Heading2"/>
      </w:pPr>
      <w:r>
        <w:rPr>
          <w:rFonts w:ascii="Times New Roman" w:hAnsi="Times New Roman"/>
        </w:rPr>
        <w:t>Inhalt (sinngemaess)</w:t>
      </w:r>
    </w:p>
    <w:p>
      <w:pPr>
        <w:pStyle w:val="ListNumber"/>
      </w:pPr>
      <w:r>
        <w:rPr>
          <w:b/>
        </w:rPr>
        <w:t>Eroeffnung:</w:t>
      </w:r>
      <w:r>
        <w:t xml:space="preserve"> Hesselmann-Sauerbruch zeigt das Mandat an (Vollmacht per beA-Sendung 02.06.2026, 14:32 Uhr). Niederee bestaetigt Empfang.</w:t>
      </w:r>
    </w:p>
    <w:p>
      <w:pPr>
        <w:pStyle w:val="ListNumber"/>
      </w:pPr>
      <w:r>
        <w:rPr>
          <w:b/>
        </w:rPr>
        <w:t>Punkt (i) BImSchG-Hauptbescheid:</w:t>
      </w:r>
      <w:r>
        <w:t xml:space="preserve"> Hesselmann-Sauerbruch verweist auf CP-Liste § 6 Abs. 2 Senior-Darlehensvertrag — dort ist nur </w:t>
      </w:r>
      <w:r>
        <w:rPr>
          <w:b/>
        </w:rPr>
        <w:t>Vorbescheid</w:t>
      </w:r>
      <w:r>
        <w:t xml:space="preserve"> verlangt, nicht Hauptbescheid. Drawstop in Punkt (i) ist nicht CP-konform. Niederee raeumt ein, dass Punkt (i) nur "vorsorglich" benannt wurde und sich auf MAC-Klausel § 7 Abs. 4 stuetzt. Hesselmann-Sauerbruch besteht auf Klarstellung in einer Side-Letter-Vereinbarung, dass Punkt (i) gestrichen wird.</w:t>
      </w:r>
    </w:p>
    <w:p>
      <w:pPr>
        <w:pStyle w:val="ListNumber"/>
      </w:pPr>
      <w:r>
        <w:rPr>
          <w:b/>
        </w:rPr>
        <w:t>Punkt (ii) Wandeldarlehen-Datum:</w:t>
      </w:r>
      <w:r>
        <w:t xml:space="preserve"> Niederee bestaetigt, dass eine </w:t>
      </w:r>
      <w:r>
        <w:rPr>
          <w:b/>
        </w:rPr>
        <w:t>Reparaturvereinbarung Wandeldarlehen</w:t>
      </w:r>
      <w:r>
        <w:t xml:space="preserve"> (siehe Aktenstueck 22) Datumskorrektur und Verlaengerung der Wandlungsfrist auf 30.09.2026 absprachegemaess vorbereitet wird. Unterzeichnung in Telefonkonferenz am 04.06.2026.</w:t>
      </w:r>
    </w:p>
    <w:p>
      <w:pPr>
        <w:pStyle w:val="ListNumber"/>
      </w:pPr>
      <w:r>
        <w:rPr>
          <w:b/>
        </w:rPr>
        <w:t>Punkt (iii) Anlage 4 Konsortialvertrag:</w:t>
      </w:r>
      <w:r>
        <w:t xml:space="preserve"> Hesselmann-Sauerbruch teilt mit, dass eine Nachforderung der Anlage 4 bei Stadtwerken Cottbus am 02.06.2026 herausging (Aktenstueck 21). Niederee bittet um Mitteilung des Eingangs.</w:t>
      </w:r>
    </w:p>
    <w:p>
      <w:pPr>
        <w:pStyle w:val="ListNumber"/>
      </w:pPr>
      <w:r>
        <w:rPr>
          <w:b/>
        </w:rPr>
        <w:t>Punkt (iv) Aval 50Hertz:</w:t>
      </w:r>
      <w:r>
        <w:t xml:space="preserve"> Hesselmann-Sauerbruch erklaert, dass die Avalverhandlung mit ILB laeuft und der Avalrahmen 12 Mio EUR auf den Einzelaval 4,4 Mio EUR fuer 50Hertz zu beziehen sei. Niederee schlaegt vor, dass NordCap als Beleg eine </w:t>
      </w:r>
      <w:r>
        <w:rPr>
          <w:b/>
        </w:rPr>
        <w:t>Avalzusage der ILB</w:t>
      </w:r>
      <w:r>
        <w:t xml:space="preserve"> anstelle der ausgestellten Avalurkunde akzeptiert (zeitliche Beschleunigung).</w:t>
      </w:r>
    </w:p>
    <w:p>
      <w:pPr>
        <w:pStyle w:val="ListNumber"/>
      </w:pPr>
      <w:r>
        <w:rPr>
          <w:b/>
        </w:rPr>
        <w:t>Punkt (v) Pacht-Genehmigungsregime:</w:t>
      </w:r>
      <w:r>
        <w:t xml:space="preserve"> Hesselmann-Sauerbruch verweist auf den Wortlaut § 5 Abs. 1 Pachtvertrag iVm 2. Nachtrag. Niederee bittet um Klarstellungsschreiben der LEAG; Hesselmann-Sauerbruch nimmt das in den Workflow auf.</w:t>
      </w:r>
    </w:p>
    <w:p>
      <w:pPr>
        <w:pStyle w:val="ListNumber"/>
      </w:pPr>
      <w:r>
        <w:rPr>
          <w:b/>
        </w:rPr>
        <w:t>Drawstop-Aufhebung:</w:t>
      </w:r>
      <w:r>
        <w:t xml:space="preserve"> Niederee in Aussicht: Drawstop wird mit Unterzeichnung der Reparaturvereinbarung Wandeldarlehen (04.06.2026) zu </w:t>
      </w:r>
      <w:r>
        <w:rPr>
          <w:b/>
        </w:rPr>
        <w:t>40 %</w:t>
      </w:r>
      <w:r>
        <w:t xml:space="preserve"> aufgehoben (Tranche 2a, 15 Mio EUR von 38 Mio EUR), Restbetrag nach Heilung Punkte (iii)-(v).</w:t>
      </w:r>
    </w:p>
    <w:p>
      <w:pPr>
        <w:pStyle w:val="ListNumber"/>
      </w:pPr>
      <w:r>
        <w:rPr>
          <w:b/>
        </w:rPr>
        <w:t>Zugangsstreit § 130 BGB:</w:t>
      </w:r>
      <w:r>
        <w:t xml:space="preserve"> Hesselmann-Sauerbruch erwaehnt </w:t>
      </w:r>
      <w:r>
        <w:rPr>
          <w:b/>
        </w:rPr>
        <w:t>vorsorglich</w:t>
      </w:r>
      <w:r>
        <w:t>, dass der Zugang des Drawstop-Schreibens per Einwurf-Einschreiben in der Mandantenakte als "nicht ueberprueft" markiert ist. Niederee weist darauf hin, dass der Zugang per E-Mail im Geschaeftsverkehr nach § 21 Senior-Vertrag (Notice-Adresse) ohnehin erfolgt sei. Frage bleibt offen.</w:t>
      </w:r>
    </w:p>
    <w:p>
      <w:pPr>
        <w:pStyle w:val="Heading2"/>
      </w:pPr>
      <w:r>
        <w:rPr>
          <w:rFonts w:ascii="Times New Roman" w:hAnsi="Times New Roman"/>
        </w:rPr>
        <w:t>Naechste Schritte (Verantwortlichkeit)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Was</w:t>
            </w:r>
          </w:p>
        </w:tc>
        <w:tc>
          <w:tcPr>
            <w:tcW w:type="dxa" w:w="3024"/>
          </w:tcPr>
          <w:p>
            <w:r>
              <w:rPr>
                <w:rFonts w:ascii="Times New Roman" w:hAnsi="Times New Roman"/>
                <w:b/>
                <w:sz w:val="20"/>
              </w:rPr>
              <w:t>Wer</w:t>
            </w:r>
          </w:p>
        </w:tc>
        <w:tc>
          <w:tcPr>
            <w:tcW w:type="dxa" w:w="3024"/>
          </w:tcPr>
          <w:p>
            <w:r>
              <w:rPr>
                <w:rFonts w:ascii="Times New Roman" w:hAnsi="Times New Roman"/>
                <w:b/>
                <w:sz w:val="20"/>
              </w:rPr>
              <w:t>Bis wann</w:t>
            </w:r>
          </w:p>
        </w:tc>
      </w:tr>
      <w:tr>
        <w:tc>
          <w:tcPr>
            <w:tcW w:type="dxa" w:w="3024"/>
          </w:tcPr>
          <w:p>
            <w:r>
              <w:rPr>
                <w:rFonts w:ascii="Times New Roman" w:hAnsi="Times New Roman"/>
                <w:sz w:val="20"/>
              </w:rPr>
              <w:t>Side-Letter Streichung Punkt (i)</w:t>
            </w:r>
          </w:p>
        </w:tc>
        <w:tc>
          <w:tcPr>
            <w:tcW w:type="dxa" w:w="3024"/>
          </w:tcPr>
          <w:p>
            <w:r>
              <w:rPr>
                <w:rFonts w:ascii="Times New Roman" w:hAnsi="Times New Roman"/>
                <w:sz w:val="20"/>
              </w:rPr>
              <w:t>NordCap (Niederee)</w:t>
            </w:r>
          </w:p>
        </w:tc>
        <w:tc>
          <w:tcPr>
            <w:tcW w:type="dxa" w:w="3024"/>
          </w:tcPr>
          <w:p>
            <w:r>
              <w:rPr>
                <w:rFonts w:ascii="Times New Roman" w:hAnsi="Times New Roman"/>
                <w:sz w:val="20"/>
              </w:rPr>
              <w:t>05.06.2026</w:t>
            </w:r>
          </w:p>
        </w:tc>
      </w:tr>
      <w:tr>
        <w:tc>
          <w:tcPr>
            <w:tcW w:type="dxa" w:w="3024"/>
          </w:tcPr>
          <w:p>
            <w:r>
              <w:rPr>
                <w:rFonts w:ascii="Times New Roman" w:hAnsi="Times New Roman"/>
                <w:sz w:val="20"/>
              </w:rPr>
              <w:t>Unterzeichnung Reparaturvereinbarung Wandeldarlehen</w:t>
            </w:r>
          </w:p>
        </w:tc>
        <w:tc>
          <w:tcPr>
            <w:tcW w:type="dxa" w:w="3024"/>
          </w:tcPr>
          <w:p>
            <w:r>
              <w:rPr>
                <w:rFonts w:ascii="Times New Roman" w:hAnsi="Times New Roman"/>
                <w:sz w:val="20"/>
              </w:rPr>
              <w:t>beide</w:t>
            </w:r>
          </w:p>
        </w:tc>
        <w:tc>
          <w:tcPr>
            <w:tcW w:type="dxa" w:w="3024"/>
          </w:tcPr>
          <w:p>
            <w:r>
              <w:rPr>
                <w:rFonts w:ascii="Times New Roman" w:hAnsi="Times New Roman"/>
                <w:sz w:val="20"/>
              </w:rPr>
              <w:t>04.06.2026</w:t>
            </w:r>
          </w:p>
        </w:tc>
      </w:tr>
      <w:tr>
        <w:tc>
          <w:tcPr>
            <w:tcW w:type="dxa" w:w="3024"/>
          </w:tcPr>
          <w:p>
            <w:r>
              <w:rPr>
                <w:rFonts w:ascii="Times New Roman" w:hAnsi="Times New Roman"/>
                <w:sz w:val="20"/>
              </w:rPr>
              <w:t>Mitteilung Eingang Anlage 4 Konsortial</w:t>
            </w:r>
          </w:p>
        </w:tc>
        <w:tc>
          <w:tcPr>
            <w:tcW w:type="dxa" w:w="3024"/>
          </w:tcPr>
          <w:p>
            <w:r>
              <w:rPr>
                <w:rFonts w:ascii="Times New Roman" w:hAnsi="Times New Roman"/>
                <w:sz w:val="20"/>
              </w:rPr>
              <w:t>LausitzStorage</w:t>
            </w:r>
          </w:p>
        </w:tc>
        <w:tc>
          <w:tcPr>
            <w:tcW w:type="dxa" w:w="3024"/>
          </w:tcPr>
          <w:p>
            <w:r>
              <w:rPr>
                <w:rFonts w:ascii="Times New Roman" w:hAnsi="Times New Roman"/>
                <w:sz w:val="20"/>
              </w:rPr>
              <w:t>sobald da</w:t>
            </w:r>
          </w:p>
        </w:tc>
      </w:tr>
      <w:tr>
        <w:tc>
          <w:tcPr>
            <w:tcW w:type="dxa" w:w="3024"/>
          </w:tcPr>
          <w:p>
            <w:r>
              <w:rPr>
                <w:rFonts w:ascii="Times New Roman" w:hAnsi="Times New Roman"/>
                <w:sz w:val="20"/>
              </w:rPr>
              <w:t>Avalzusage ILB anfordern</w:t>
            </w:r>
          </w:p>
        </w:tc>
        <w:tc>
          <w:tcPr>
            <w:tcW w:type="dxa" w:w="3024"/>
          </w:tcPr>
          <w:p>
            <w:r>
              <w:rPr>
                <w:rFonts w:ascii="Times New Roman" w:hAnsi="Times New Roman"/>
                <w:sz w:val="20"/>
              </w:rPr>
              <w:t>LausitzStorage</w:t>
            </w:r>
          </w:p>
        </w:tc>
        <w:tc>
          <w:tcPr>
            <w:tcW w:type="dxa" w:w="3024"/>
          </w:tcPr>
          <w:p>
            <w:r>
              <w:rPr>
                <w:rFonts w:ascii="Times New Roman" w:hAnsi="Times New Roman"/>
                <w:sz w:val="20"/>
              </w:rPr>
              <w:t>06.06.2026</w:t>
            </w:r>
          </w:p>
        </w:tc>
      </w:tr>
      <w:tr>
        <w:tc>
          <w:tcPr>
            <w:tcW w:type="dxa" w:w="3024"/>
          </w:tcPr>
          <w:p>
            <w:r>
              <w:rPr>
                <w:rFonts w:ascii="Times New Roman" w:hAnsi="Times New Roman"/>
                <w:sz w:val="20"/>
              </w:rPr>
              <w:t>Klarstellungsschreiben LEAG Pacht-Genehmigungsregime</w:t>
            </w:r>
          </w:p>
        </w:tc>
        <w:tc>
          <w:tcPr>
            <w:tcW w:type="dxa" w:w="3024"/>
          </w:tcPr>
          <w:p>
            <w:r>
              <w:rPr>
                <w:rFonts w:ascii="Times New Roman" w:hAnsi="Times New Roman"/>
                <w:sz w:val="20"/>
              </w:rPr>
              <w:t>Pohlmann und Pohlmann</w:t>
            </w:r>
          </w:p>
        </w:tc>
        <w:tc>
          <w:tcPr>
            <w:tcW w:type="dxa" w:w="3024"/>
          </w:tcPr>
          <w:p>
            <w:r>
              <w:rPr>
                <w:rFonts w:ascii="Times New Roman" w:hAnsi="Times New Roman"/>
                <w:sz w:val="20"/>
              </w:rPr>
              <w:t>09.06.2026</w:t>
            </w:r>
          </w:p>
        </w:tc>
      </w:tr>
      <w:tr>
        <w:tc>
          <w:tcPr>
            <w:tcW w:type="dxa" w:w="3024"/>
          </w:tcPr>
          <w:p>
            <w:r>
              <w:rPr>
                <w:rFonts w:ascii="Times New Roman" w:hAnsi="Times New Roman"/>
                <w:sz w:val="20"/>
              </w:rPr>
              <w:t>Tranche-2a-Auszahlung 15 Mio EUR</w:t>
            </w:r>
          </w:p>
        </w:tc>
        <w:tc>
          <w:tcPr>
            <w:tcW w:type="dxa" w:w="3024"/>
          </w:tcPr>
          <w:p>
            <w:r>
              <w:rPr>
                <w:rFonts w:ascii="Times New Roman" w:hAnsi="Times New Roman"/>
                <w:sz w:val="20"/>
              </w:rPr>
              <w:t>NordCap</w:t>
            </w:r>
          </w:p>
        </w:tc>
        <w:tc>
          <w:tcPr>
            <w:tcW w:type="dxa" w:w="3024"/>
          </w:tcPr>
          <w:p>
            <w:r>
              <w:rPr>
                <w:rFonts w:ascii="Times New Roman" w:hAnsi="Times New Roman"/>
                <w:sz w:val="20"/>
              </w:rPr>
              <w:t>05.06.2026</w:t>
            </w:r>
          </w:p>
        </w:tc>
      </w:tr>
    </w:tbl>
    <w:p>
      <w:pPr>
        <w:pStyle w:val="Heading2"/>
      </w:pPr>
      <w:r>
        <w:rPr>
          <w:rFonts w:ascii="Times New Roman" w:hAnsi="Times New Roman"/>
        </w:rPr>
        <w:t>Bewertung</w:t>
      </w:r>
    </w:p>
    <w:p>
      <w:pPr>
        <w:jc w:val="left"/>
      </w:pPr>
      <w:r>
        <w:t xml:space="preserve">Drawstop ist juristisch und kommerziell </w:t>
      </w:r>
      <w:r>
        <w:rPr>
          <w:b/>
        </w:rPr>
        <w:t>heilbar</w:t>
      </w:r>
      <w:r>
        <w:t>. Anwaltsstrategie: Druck auf Punkt (i) (CP-Liste-Fehler bei NordCap), kooperative Heilung der Punkte (ii)-(iv), Klarstellung Punkt (v) via LEAG. Wandlungsfrist-Verlaengerung (Punkt iv) auf 30.09.2026 ist erfolgskritisch und in der Reparaturvereinbarung abgesichert.</w:t>
      </w:r>
    </w:p>
    <w:p>
      <w:pPr>
        <w:pStyle w:val="Heading2"/>
      </w:pPr>
      <w:r>
        <w:rPr>
          <w:rFonts w:ascii="Times New Roman" w:hAnsi="Times New Roman"/>
        </w:rPr>
        <w:t>Anlagen</w:t>
      </w:r>
    </w:p>
    <w:p>
      <w:pPr>
        <w:pStyle w:val="ListBullet"/>
      </w:pPr>
      <w:r>
        <w:t>Telefonnotiz wortgleich an Mandantin per beA-Postfach am 03.06.2026, 13:30 Uhr</w:t>
      </w:r>
    </w:p>
    <w:p>
      <w:pPr>
        <w:pStyle w:val="ListBullet"/>
      </w:pPr>
      <w:r>
        <w:t>Memo intern an Kanzlei-Partner Dr. Pohlmann (Mentoringeintrag)</w:t>
      </w:r>
    </w:p>
    <w:p>
      <w:pPr>
        <w:jc w:val="left"/>
      </w:pPr>
      <w:r>
        <w:rPr>
          <w:b/>
        </w:rPr>
        <w:t>Verfasserin:</w:t>
      </w:r>
      <w:r>
        <w:t xml:space="preserve"> RAin Dr. Friederike Hesselmann-Sauerbruch, 03.06.2026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