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Antrag NordCap auf Einberufung außerordentlicher Gesellschafterversammlung und Abberufung Bauernfeind</w:t>
      </w:r>
    </w:p>
    <w:p>
      <w:pPr>
        <w:jc w:val="left"/>
      </w:pPr>
      <w:r>
        <w:rPr>
          <w:b/>
        </w:rPr>
        <w:t>Datum:</w:t>
      </w:r>
      <w:r>
        <w:t xml:space="preserve"> 30.05.2026</w:t>
      </w:r>
    </w:p>
    <w:p>
      <w:pPr>
        <w:jc w:val="left"/>
      </w:pPr>
      <w:r>
        <w:rPr>
          <w:b/>
        </w:rPr>
        <w:t>Absender:</w:t>
      </w:r>
      <w:r>
        <w:t xml:space="preserve"> NordCap Infrastructure Fund SCS, vertreten durch Pierre Le Bouëdec und Marisa Kraft</w:t>
      </w:r>
    </w:p>
    <w:p>
      <w:pPr>
        <w:jc w:val="left"/>
      </w:pPr>
      <w:r>
        <w:rPr>
          <w:b/>
        </w:rPr>
        <w:t>Adressat:</w:t>
      </w:r>
      <w:r>
        <w:t xml:space="preserve"> Karlheinz Bauernfeind als Geschäftsführer der LausitzStorage 200 GmbH (in cc: alle Mitgesellschafter Lindenthal/Stadtwerke; in cc: Pohlmann &amp; Pohlmann, Federfuchs Knöterich &amp; Partner)</w:t>
      </w:r>
    </w:p>
    <w:p>
      <w:pPr>
        <w:jc w:val="left"/>
      </w:pPr>
      <w:r>
        <w:rPr>
          <w:b/>
        </w:rPr>
        <w:t>Versandweg:</w:t>
      </w:r>
      <w:r>
        <w:t xml:space="preserve"> Einwurf-Einschreiben RM 4274 8842 1 DE, Zugang LausitzStorage 02.06.2026 (Bauernfeind-Sekretariat Zeugin Beate Pawlowski); zusätzlich PDF per E-Mail am 30.05.2026 16:08 Uhr an karlheinz.bauernfeind@lausitzstorage.de</w:t>
      </w:r>
    </w:p>
    <w:p>
      <w:pPr>
        <w:pStyle w:val="Heading2"/>
      </w:pPr>
      <w:r>
        <w:rPr>
          <w:rFonts w:ascii="Times New Roman" w:hAnsi="Times New Roman"/>
        </w:rPr>
        <w:t>Anschreiben</w:t>
      </w:r>
    </w:p>
    <w:p>
      <w:pPr>
        <w:ind w:left="567"/>
      </w:pPr>
      <w:r>
        <w:rPr>
          <w:i/>
        </w:rPr>
        <w:t>„Sehr geehrter Herr Bauernfeind,</w:t>
      </w:r>
    </w:p>
    <w:p>
      <w:pPr>
        <w:ind w:left="567"/>
      </w:pPr>
    </w:p>
    <w:p>
      <w:pPr>
        <w:ind w:left="567"/>
      </w:pPr>
      <w:r>
        <w:rPr>
          <w:i/>
        </w:rPr>
        <w:t>nach § 50 Abs. 1 GmbHG iVm § 11 Abs. 2 der Satzung der LausitzStorage 200 GmbH verlangen wir hiermit als Gesellschafter mit einer Beteiligung von 30,00 % am Stammkapital die Einberufung einer außerordentlichen Gesellschafterversammlung mit den nachfolgend bezeichneten Tagesordnungspunkten.</w:t>
      </w:r>
    </w:p>
    <w:p>
      <w:pPr>
        <w:ind w:left="567"/>
      </w:pPr>
    </w:p>
    <w:p>
      <w:pPr>
        <w:ind w:left="567"/>
      </w:pPr>
      <w:r>
        <w:rPr>
          <w:i/>
        </w:rPr>
        <w:t>Die Gründe für unser Verlangen ergeben sich aus dem als Anlage beigefügten Verlangensschreiben (Punkt 2 unten). Wir bitten um Einberufung binnen vier Wochen nach Zugang dieses Schreibens. Sollte die Einberufung nicht binnen dieser Frist erfolgen, machen wir vom Selbsteinberufungsrecht nach § 50 Abs. 3 GmbHG Gebrauch."</w:t>
      </w:r>
    </w:p>
    <w:p>
      <w:pPr>
        <w:pStyle w:val="Heading2"/>
      </w:pPr>
      <w:r>
        <w:rPr>
          <w:rFonts w:ascii="Times New Roman" w:hAnsi="Times New Roman"/>
        </w:rPr>
        <w:t>Tagesordnung</w:t>
      </w:r>
    </w:p>
    <w:p>
      <w:pPr>
        <w:pStyle w:val="ListNumber"/>
      </w:pPr>
      <w:r>
        <w:rPr>
          <w:b/>
        </w:rPr>
        <w:t>Bericht der Geschäftsführung</w:t>
      </w:r>
      <w:r>
        <w:t xml:space="preserve"> zu Stand und Ursachen des Drawstops NordCap vom 22.05.2026</w:t>
      </w:r>
    </w:p>
    <w:p>
      <w:pPr>
        <w:pStyle w:val="ListNumber"/>
      </w:pPr>
      <w:r>
        <w:rPr>
          <w:b/>
        </w:rPr>
        <w:t>Abberufung des Geschäftsführers</w:t>
      </w:r>
      <w:r>
        <w:t xml:space="preserve"> Karlheinz Bauernfeind aus wichtigem Grund gemäß § 38 Abs. 2 GmbHG iVm § 8 Abs. 4 der Satzung</w:t>
      </w:r>
    </w:p>
    <w:p>
      <w:pPr>
        <w:pStyle w:val="ListNumber"/>
      </w:pPr>
      <w:r>
        <w:rPr>
          <w:b/>
        </w:rPr>
        <w:t>Bestellung eines Interim-Geschäftsführers</w:t>
      </w:r>
      <w:r>
        <w:t xml:space="preserve"> — Vorschlag NordCap: Dr. Friedrich Wilhelm Garnatz, ehemaliger CFO der Vattenfall Energy Storage GmbH, Berlin</w:t>
      </w:r>
    </w:p>
    <w:p>
      <w:pPr>
        <w:pStyle w:val="ListNumber"/>
      </w:pPr>
      <w:r>
        <w:rPr>
          <w:b/>
        </w:rPr>
        <w:t>Beschluss über Mandatierung externer Restrukturierungsberatung</w:t>
      </w:r>
      <w:r>
        <w:t xml:space="preserve"> (Vorschlag NordCap: Roland Berger, Restrukturierungs-Team Dr. Magnus Erlinghagen)</w:t>
      </w:r>
    </w:p>
    <w:p>
      <w:pPr>
        <w:pStyle w:val="ListNumber"/>
      </w:pPr>
      <w:r>
        <w:rPr>
          <w:b/>
        </w:rPr>
        <w:t>Beschluss über Vorbereitung einer Kapitalerhöhung</w:t>
      </w:r>
      <w:r>
        <w:t xml:space="preserve"> gegen Sacheinlage (Wandlung des NordCap-Wandeldarlehens, Akte 09, anlässlich der Abberufung)</w:t>
      </w:r>
    </w:p>
    <w:p>
      <w:pPr>
        <w:pStyle w:val="Heading2"/>
      </w:pPr>
      <w:r>
        <w:rPr>
          <w:rFonts w:ascii="Times New Roman" w:hAnsi="Times New Roman"/>
        </w:rPr>
        <w:t>Verlangensschreiben — Begründung der Abberufung (Punkt 2)</w:t>
      </w:r>
    </w:p>
    <w:p>
      <w:pPr>
        <w:ind w:left="567"/>
      </w:pPr>
      <w:r>
        <w:rPr>
          <w:i/>
        </w:rPr>
        <w:t>„Wir stützen den Abberufungsantrag auf folgende Gründe, die jeweils einen wichtigen Grund iSv § 38 Abs. 2 GmbHG darstellen und in der Summe jedenfalls die für eine Fortdauer der Bestellung erforderliche Vertrauensbasis zerstört haben:</w:t>
      </w:r>
    </w:p>
    <w:p>
      <w:pPr>
        <w:ind w:left="567"/>
      </w:pPr>
    </w:p>
    <w:p>
      <w:pPr>
        <w:ind w:left="567"/>
      </w:pPr>
      <w:r>
        <w:rPr>
          <w:i/>
        </w:rPr>
        <w:t xml:space="preserve">1. </w:t>
      </w:r>
      <w:r>
        <w:rPr>
          <w:b/>
          <w:i/>
        </w:rPr>
        <w:t>Documentation Gap NordCap-Tranche 2:</w:t>
      </w:r>
      <w:r>
        <w:rPr>
          <w:i/>
        </w:rPr>
        <w:t xml:space="preserve"> Die unter § 6 Abs. 2 Senior-Darlehensvertrag vereinbarten Conditions Precedent sind in fünf Punkten nicht erfüllt (Akte 13). Drei dieser Punkte (Anlage 4 Konsortialvertrag Stadtwerke, Einzelaval 50Hertz, Hauptantrag BImSchG) lagen in der originären Verantwortung der Geschäftsführung. Bauernfeind hat den Statusberichten der Investorenversammlung am 14.04.2026 ausdrücklich versichert, dass diese Punkte „vor Tranche-2-Auszahlung sicher erfüllt sein werden".</w:t>
      </w:r>
    </w:p>
    <w:p>
      <w:pPr>
        <w:ind w:left="567"/>
      </w:pPr>
    </w:p>
    <w:p>
      <w:pPr>
        <w:ind w:left="567"/>
      </w:pPr>
      <w:r>
        <w:rPr>
          <w:i/>
        </w:rPr>
        <w:t xml:space="preserve">2. </w:t>
      </w:r>
      <w:r>
        <w:rPr>
          <w:b/>
          <w:i/>
        </w:rPr>
        <w:t>Cap-Table-Manipulation:</w:t>
      </w:r>
      <w:r>
        <w:rPr>
          <w:i/>
        </w:rPr>
        <w:t xml:space="preserve"> Die Geschäftsführung führt eine zweite, von der notarbeglaubigten Linie abweichende Cap-Table-Version (Cap Table V2, Akte 17), die NordCap ohne Beschlussgrundlage 780 EUR Stammkapital mehr zuweist als notariell beurkundet. NordCap hat einer solchen Anpassung </w:t>
      </w:r>
      <w:r>
        <w:rPr>
          <w:b/>
          <w:i/>
        </w:rPr>
        <w:t>niemals zugestimmt</w:t>
      </w:r>
      <w:r>
        <w:rPr>
          <w:i/>
        </w:rPr>
        <w:t>; die Behauptung einer „geplanten Teilwandlung" in NordCap-Korrespondenz wird ausdrücklich bestritten — die Mail vom 02.03.2026 war eine interne Sondierung, kein Wandlungsverlangen.</w:t>
      </w:r>
    </w:p>
    <w:p>
      <w:pPr>
        <w:ind w:left="567"/>
      </w:pPr>
    </w:p>
    <w:p>
      <w:pPr>
        <w:ind w:left="567"/>
      </w:pPr>
      <w:r>
        <w:rPr>
          <w:i/>
        </w:rPr>
        <w:t xml:space="preserve">3. </w:t>
      </w:r>
      <w:r>
        <w:rPr>
          <w:b/>
          <w:i/>
        </w:rPr>
        <w:t>Verschleppung der Wandeldarlehens-Reparatur:</w:t>
      </w:r>
      <w:r>
        <w:rPr>
          <w:i/>
        </w:rPr>
        <w:t xml:space="preserve"> Die offensichtliche Datums-Diskrepanz im Wandeldarlehen (14.10.2025 vs. tatsächlich 17.10.2025, Akten 09/10) wurde bereits am 12.12.2025 durch unseren Justiziariat erkannt und gegenüber Bauernfeind angesprochen. Die Reparaturvereinbarung lag erst am 04.06.2026 im Entwurf vor (Akte 22) — fünfeinhalb Monate nach Hinweis.</w:t>
      </w:r>
    </w:p>
    <w:p>
      <w:pPr>
        <w:ind w:left="567"/>
      </w:pPr>
    </w:p>
    <w:p>
      <w:pPr>
        <w:ind w:left="567"/>
      </w:pPr>
      <w:r>
        <w:rPr>
          <w:i/>
        </w:rPr>
        <w:t xml:space="preserve">4. </w:t>
      </w:r>
      <w:r>
        <w:rPr>
          <w:b/>
          <w:i/>
        </w:rPr>
        <w:t>Genehmigungsregime-Konflikt mit LEAG:</w:t>
      </w:r>
      <w:r>
        <w:rPr>
          <w:i/>
        </w:rPr>
        <w:t xml:space="preserve"> Bauernfeind hat im Schriftwechsel mit LEAG (Akte 19) die Existenz des 2. Nachtrags zum Pachtvertrag (Verlängerung 31.12.2026 auf 30.06.2027, Akte 05) nicht von Anfang an klargestellt, sondern hat die LEAG-Kündigungsdrohung mit der falschen Frist über fünf Wochen unkommentiert gelassen.</w:t>
      </w:r>
    </w:p>
    <w:p>
      <w:pPr>
        <w:ind w:left="567"/>
      </w:pPr>
    </w:p>
    <w:p>
      <w:pPr>
        <w:ind w:left="567"/>
      </w:pPr>
      <w:r>
        <w:rPr>
          <w:i/>
        </w:rPr>
        <w:t xml:space="preserve">5. </w:t>
      </w:r>
      <w:r>
        <w:rPr>
          <w:b/>
          <w:i/>
        </w:rPr>
        <w:t>Verletzung der Berichtspflichten gegenüber LEAG:</w:t>
      </w:r>
      <w:r>
        <w:rPr>
          <w:i/>
        </w:rPr>
        <w:t xml:space="preserve"> § 14 Pachtvertrag verlangt monatliche Fortschrittsberichte. Die Berichte Februar bis April 2026 wurden erst am 22.04.2026 verspätet nachgereicht. Dies hat den jetzigen Streitstand mit LEAG erst ausgelöst.</w:t>
      </w:r>
    </w:p>
    <w:p>
      <w:pPr>
        <w:ind w:left="567"/>
      </w:pPr>
    </w:p>
    <w:p>
      <w:pPr>
        <w:ind w:left="567"/>
      </w:pPr>
      <w:r>
        <w:rPr>
          <w:i/>
        </w:rPr>
        <w:t>Diese Punkte stellen objektiv eine Pflichtverletzung der Geschäftsführungssorgfalt nach § 43 Abs. 1 GmbHG dar und sind bei kumulativer Betrachtung jedenfalls ein wichtiger Grund."</w:t>
      </w:r>
    </w:p>
    <w:p>
      <w:pPr>
        <w:pStyle w:val="Heading2"/>
      </w:pPr>
      <w:r>
        <w:rPr>
          <w:rFonts w:ascii="Times New Roman" w:hAnsi="Times New Roman"/>
        </w:rPr>
        <w:t>Anlagen zum Verlangen</w:t>
      </w:r>
    </w:p>
    <w:p>
      <w:pPr>
        <w:pStyle w:val="ListBullet"/>
      </w:pPr>
      <w:r>
        <w:t>A1: Drawstop-Schreiben 22.05.2026 (Akte 13)</w:t>
      </w:r>
    </w:p>
    <w:p>
      <w:pPr>
        <w:pStyle w:val="ListBullet"/>
      </w:pPr>
      <w:r>
        <w:t>A2: Cap Table V1 und V2 mit Vergleich (Akten 16, 17, 18)</w:t>
      </w:r>
    </w:p>
    <w:p>
      <w:pPr>
        <w:pStyle w:val="ListBullet"/>
      </w:pPr>
      <w:r>
        <w:t>A3: Wandeldarlehen mit Markierung der fehlerhaften Datumsangabe (Akte 09)</w:t>
      </w:r>
    </w:p>
    <w:p>
      <w:pPr>
        <w:pStyle w:val="ListBullet"/>
      </w:pPr>
      <w:r>
        <w:t>A4: NordCap-interner Compliance-Vermerk vom 12.12.2025 (Le Bouëdec an Bauernfeind, sechsseitig)</w:t>
      </w:r>
    </w:p>
    <w:p>
      <w:pPr>
        <w:pStyle w:val="ListBullet"/>
      </w:pPr>
      <w:r>
        <w:t>A5: LEAG-Schriftwechsel (Akte 19) mit Annotation NordCap</w:t>
      </w:r>
    </w:p>
    <w:p>
      <w:pPr>
        <w:pStyle w:val="ListBullet"/>
      </w:pPr>
      <w:r>
        <w:t>A6: Anwaltsmemo Federfuchs Knöterich &amp; Partner Frankfurt vom 27.05.2026 zur „Material Adverse Change"-Konstellation</w:t>
      </w:r>
    </w:p>
    <w:p>
      <w:pPr>
        <w:pStyle w:val="ListBullet"/>
      </w:pPr>
      <w:r>
        <w:t>A7: Vorschlag Bestellung Dr. Garnatz (Lebenslauf, Verfügbarkeitsbestätigung)</w:t>
      </w:r>
    </w:p>
    <w:p>
      <w:pPr>
        <w:pStyle w:val="Heading2"/>
      </w:pPr>
      <w:r>
        <w:rPr>
          <w:rFonts w:ascii="Times New Roman" w:hAnsi="Times New Roman"/>
        </w:rPr>
        <w:t>Bauernfeind-Erstantwort (Aktennotiz Pohlmann &amp; Pohlmann vom 03.06.2026)</w:t>
      </w:r>
    </w:p>
    <w:p>
      <w:pPr>
        <w:jc w:val="left"/>
      </w:pPr>
      <w:r>
        <w:t>Bauernfeind hat telefonisch am 02.06.2026 17:32 Uhr (Telefonat mit RAin Hesselmann) die Punkte 1, 4 und 5 als „sachlich nicht von der Hand zu weisen, aber nicht abberufungsbegründend" eingestuft und insbesondere Punkt 2 (Cap-Table-Manipulation) als „Verleumdung" zurückgewiesen. Bauernfeind argumentiert, die V2-Cap-Table sei „intern, vorläufig, ohne Außenwirkung" gewesen.</w:t>
      </w:r>
    </w:p>
    <w:p>
      <w:pPr>
        <w:pStyle w:val="Heading2"/>
      </w:pPr>
      <w:r>
        <w:rPr>
          <w:rFonts w:ascii="Times New Roman" w:hAnsi="Times New Roman"/>
        </w:rPr>
        <w:t>Verfahrensrechtliche Folgen</w:t>
      </w:r>
    </w:p>
    <w:p>
      <w:pPr>
        <w:pStyle w:val="ListNumber"/>
      </w:pPr>
      <w:r>
        <w:rPr>
          <w:b/>
        </w:rPr>
        <w:t>Bauernfeind als Geschäftsführer</w:t>
      </w:r>
      <w:r>
        <w:t xml:space="preserve"> muss die Einberufung der Gesellschafterversammlung selbst bewirken (§ 49 Abs. 1 GmbHG iVm § 50 Abs. 2 GmbHG). Tagesordnung ist mitzuteilen.</w:t>
      </w:r>
    </w:p>
    <w:p>
      <w:pPr>
        <w:pStyle w:val="ListNumber"/>
      </w:pPr>
      <w:r>
        <w:rPr>
          <w:b/>
        </w:rPr>
        <w:t>Bauernfeind als Gesellschafter</w:t>
      </w:r>
      <w:r>
        <w:t xml:space="preserve"> unterliegt beim Abberufungsbeschluss einem </w:t>
      </w:r>
      <w:r>
        <w:rPr>
          <w:b/>
        </w:rPr>
        <w:t>Stimmverbot</w:t>
      </w:r>
      <w:r>
        <w:t xml:space="preserve"> nach § 47 Abs. 4 Satz 2 GmbHG (Befreiung von Verbindlichkeit, „Richten in eigener Sache"). Stimmberechtigt sind nur Lindenthal (9 %), NordCap (30 %), Stadtwerke (10 %) — Summe 49 %, gerechnet auf das gesamte Stammkapital, aber von 49 % stimmberechtigter Anteile wäre die einfache Mehrheit 24,5 % + 1 Stimme.</w:t>
      </w:r>
    </w:p>
    <w:p>
      <w:pPr>
        <w:pStyle w:val="ListNumber"/>
      </w:pPr>
      <w:r>
        <w:rPr>
          <w:b/>
        </w:rPr>
        <w:t>Stimmverhalten erwartet:</w:t>
      </w:r>
    </w:p>
    <w:p>
      <w:pPr>
        <w:pStyle w:val="ListBullet"/>
      </w:pPr>
      <w:r>
        <w:t>NordCap: pro Abberufung</w:t>
      </w:r>
    </w:p>
    <w:p>
      <w:pPr>
        <w:pStyle w:val="ListBullet"/>
      </w:pPr>
      <w:r>
        <w:t>Lindenthal: offen — siehe Akte 39 (Anwaltsschreiben Lindenthal)</w:t>
      </w:r>
    </w:p>
    <w:p>
      <w:pPr>
        <w:pStyle w:val="ListBullet"/>
      </w:pPr>
      <w:r>
        <w:t>Stadtwerke Cottbus: kommunalpolitisch sensibel, eher Enthaltung</w:t>
      </w:r>
    </w:p>
    <w:p>
      <w:pPr>
        <w:pStyle w:val="ListNumber"/>
      </w:pPr>
      <w:r>
        <w:rPr>
          <w:b/>
        </w:rPr>
        <w:t>Konsortialvertrag § 4</w:t>
      </w:r>
      <w:r>
        <w:t xml:space="preserve"> (Stimmbindungspool, Akte 11): die Drittinteressen des Konsortialpools sind zu berücksichtigen — etwaige Verletzung ist ein Schadensersatzgrund, aber kein Beschlussmangel.</w:t>
      </w:r>
    </w:p>
    <w:p>
      <w:pPr>
        <w:pStyle w:val="Heading2"/>
      </w:pPr>
      <w:r>
        <w:rPr>
          <w:rFonts w:ascii="Times New Roman" w:hAnsi="Times New Roman"/>
        </w:rPr>
        <w:t>Strategie Pohlmann &amp; Pohlmann</w:t>
      </w:r>
    </w:p>
    <w:p>
      <w:pPr>
        <w:jc w:val="left"/>
      </w:pPr>
      <w:r>
        <w:t>Für Bauernfeind:</w:t>
      </w:r>
    </w:p>
    <w:p>
      <w:pPr>
        <w:pStyle w:val="ListNumber"/>
      </w:pPr>
      <w:r>
        <w:rPr>
          <w:b/>
        </w:rPr>
        <w:t>Verfahrensrügen vorbereiten</w:t>
      </w:r>
      <w:r>
        <w:t>: Form, Frist, Ladung</w:t>
      </w:r>
    </w:p>
    <w:p>
      <w:pPr>
        <w:pStyle w:val="ListNumber"/>
      </w:pPr>
      <w:r>
        <w:rPr>
          <w:b/>
        </w:rPr>
        <w:t>Inhaltliche Verteidigung</w:t>
      </w:r>
      <w:r>
        <w:t>: Cap-Table V2 war Vorschau, kein Beschluss; Drawstop-Punkte sind teils nicht von Bauernfeind zu vertreten (insbes. (i) Hauptbescheid — nicht in CP-Liste)</w:t>
      </w:r>
    </w:p>
    <w:p>
      <w:pPr>
        <w:pStyle w:val="ListNumber"/>
      </w:pPr>
      <w:r>
        <w:rPr>
          <w:b/>
        </w:rPr>
        <w:t>Vergleichsangebot</w:t>
      </w:r>
      <w:r>
        <w:t>: Bauernfeind tritt auf Zeit zurück, NordCap zieht Drawstop, Wandeldarlehen wird repariert (Akte 22), Garnatz nicht als Vollberufung, sondern als CRO mit befristetem Mandat</w:t>
      </w:r>
    </w:p>
    <w:p>
      <w:pPr>
        <w:pStyle w:val="ListNumber"/>
      </w:pPr>
      <w:r>
        <w:rPr>
          <w:b/>
        </w:rPr>
        <w:t>Alternative</w:t>
      </w:r>
      <w:r>
        <w:t xml:space="preserve">: Selbsteinberufung nach § 50 Abs. 3 GmbHG durch NordCap zulassen, dann </w:t>
      </w:r>
      <w:r>
        <w:rPr>
          <w:b/>
        </w:rPr>
        <w:t>Beschlussmängelklage</w:t>
      </w:r>
      <w:r>
        <w:t xml:space="preserve"> nach Beschluss</w:t>
      </w:r>
    </w:p>
    <w:p>
      <w:pPr>
        <w:pStyle w:val="Heading2"/>
      </w:pPr>
      <w:r>
        <w:rPr>
          <w:rFonts w:ascii="Times New Roman" w:hAnsi="Times New Roman"/>
        </w:rPr>
        <w:t>Normbezug</w:t>
      </w:r>
    </w:p>
    <w:p>
      <w:pPr>
        <w:pStyle w:val="ListBullet"/>
      </w:pPr>
      <w:r>
        <w:t>§ 50 Abs. 1 GmbHG (Einberufungsverlangen Minderheitsgesellschafter — 10 %)</w:t>
      </w:r>
    </w:p>
    <w:p>
      <w:pPr>
        <w:pStyle w:val="ListBullet"/>
      </w:pPr>
      <w:r>
        <w:t>§ 50 Abs. 3 GmbHG (Selbsteinberufungsrecht bei Nichteinberufung)</w:t>
      </w:r>
    </w:p>
    <w:p>
      <w:pPr>
        <w:pStyle w:val="ListBullet"/>
      </w:pPr>
      <w:r>
        <w:t>§ 38 Abs. 2 GmbHG (Abberufung Geschäftsführer aus wichtigem Grund)</w:t>
      </w:r>
    </w:p>
    <w:p>
      <w:pPr>
        <w:pStyle w:val="ListBullet"/>
      </w:pPr>
      <w:r>
        <w:t>§ 47 Abs. 4 Satz 2 GmbHG (Stimmverbot beim Richten in eigener Sache)</w:t>
      </w:r>
    </w:p>
    <w:p>
      <w:pPr>
        <w:pStyle w:val="ListBullet"/>
      </w:pPr>
      <w:r>
        <w:t>§ 43 Abs. 1 GmbHG (Sorgfaltspflicht)</w:t>
      </w:r>
    </w:p>
    <w:p>
      <w:pPr>
        <w:pStyle w:val="ListBullet"/>
      </w:pPr>
      <w:r>
        <w:t>§ 49 Abs. 1 GmbHG (Einberufungspflicht Geschäftsführer)</w:t>
      </w:r>
    </w:p>
    <w:p>
      <w:pPr>
        <w:pStyle w:val="ListBullet"/>
      </w:pPr>
      <w:r>
        <w:t>§ 11 Abs. 2, § 8 Abs. 4 Satzung LausitzStorage</w:t>
      </w:r>
    </w:p>
    <w:p>
      <w:pPr>
        <w:pStyle w:val="ListBullet"/>
      </w:pPr>
      <w:r>
        <w:t>BGH, II ZR 251/11 — wichtiger Grund Abberufung</w:t>
      </w:r>
    </w:p>
    <w:p>
      <w:pPr>
        <w:pStyle w:val="ListBullet"/>
      </w:pPr>
      <w:r>
        <w:t>BGH, II ZR 142/16 — Stimmverbot bei Eigeninteresse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jc w:val="left"/>
      </w:pPr>
      <w:r>
        <w:t>Original Einschreiben mit Eingangsstempel Sekretariat Bauernfeind: bei Pohlmann &amp; Pohlmann.</w:t>
      </w:r>
    </w:p>
    <w:p>
      <w:pPr>
        <w:jc w:val="left"/>
      </w:pPr>
      <w:r>
        <w:t>PDF-Anhang E-Mail: in Mandatsmail-Archiv.</w:t>
      </w:r>
    </w:p>
    <w:p>
      <w:pPr>
        <w:jc w:val="left"/>
      </w:pPr>
      <w:r>
        <w:t>Anlagen A1 bis A7: gesammelt in Sub-Akte LausitzStorage/Gesellschafterstreit/2026-05-30-NordCap-Antrag.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