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 Klingenhain Musikschule</w:t>
      </w:r>
    </w:p>
    <w:p>
      <w:pPr>
        <w:jc w:val="left"/>
      </w:pPr>
      <w:r>
        <w:rPr>
          <w:b/>
        </w:rPr>
        <w:t>Mandantin:</w:t>
      </w:r>
      <w:r>
        <w:t xml:space="preserve"> Klingenhain Musikschule gGmbH, kommunal geförderte Einrichtung in Hessen, 42 Festangestellte, 63 Honorarkräfte, 1.840 Schüler.</w:t>
      </w:r>
    </w:p>
    <w:p>
      <w:pPr>
        <w:jc w:val="left"/>
      </w:pPr>
      <w:r>
        <w:rPr>
          <w:b/>
        </w:rPr>
        <w:t>Anlass:</w:t>
      </w:r>
      <w:r>
        <w:t xml:space="preserve"> DRV-Betriebsprüfung 2022-2025 mit Schwerpunkt Honorarkräfte, Geschäftsführung, freier anwaltlicher Mitarbeiter und IT-Freelancer.</w:t>
      </w:r>
    </w:p>
    <w:p>
      <w:pPr>
        <w:jc w:val="left"/>
      </w:pPr>
      <w:r>
        <w:rPr>
          <w:b/>
        </w:rPr>
        <w:t>Aktenzeichen intern:</w:t>
      </w:r>
      <w:r>
        <w:t xml:space="preserve"> KH-DRV-2026-06.</w:t>
      </w:r>
    </w:p>
    <w:p>
      <w:pPr>
        <w:pStyle w:val="Heading2"/>
      </w:pPr>
      <w:r>
        <w:rPr>
          <w:rFonts w:ascii="Times New Roman" w:hAnsi="Times New Roman"/>
        </w:rPr>
        <w:t>Sofortproblem</w:t>
      </w:r>
    </w:p>
    <w:p>
      <w:pPr>
        <w:jc w:val="left"/>
      </w:pPr>
      <w:r>
        <w:t>Die Verträge lesen sich frei, die Praxis wirkt teilweise sehr organisiert: feste Räume, feste Stundenpläne, Krankmeldungen über das Sekretariat, verpflichtende Teamtage, zentrale Elternkommunikation, Schülereinteilung durch die Musikschule und monatlich gleichförmige Rechnungen. Gleichzeitig gibt es echte Selbständigkeitsindizien bei einzelnen Lehrkräften mit eigenem Studio, eigenen Schülern, eigener Website und Vertretungsorganisation.</w:t>
      </w:r>
    </w:p>
    <w:p>
      <w:pPr>
        <w:pStyle w:val="Heading2"/>
      </w:pPr>
      <w:r>
        <w:rPr>
          <w:rFonts w:ascii="Times New Roman" w:hAnsi="Times New Roman"/>
        </w:rPr>
        <w:t>Risikogruppen</w:t>
      </w:r>
    </w:p>
    <w:p>
      <w:pPr>
        <w:pStyle w:val="ListBullet"/>
      </w:pPr>
      <w:r>
        <w:rPr>
          <w:b/>
        </w:rPr>
        <w:t>Gitarren-/Klavierlehrkräfte:</w:t>
      </w:r>
      <w:r>
        <w:t xml:space="preserve"> größtes Volumen, gemischte Praxis, neue BSG-Linie beachten.</w:t>
      </w:r>
    </w:p>
    <w:p>
      <w:pPr>
        <w:pStyle w:val="ListBullet"/>
      </w:pPr>
      <w:r>
        <w:rPr>
          <w:b/>
        </w:rPr>
        <w:t>Geschäftsführer Dr. Balduin Klingenhain:</w:t>
      </w:r>
      <w:r>
        <w:t xml:space="preserve"> hält exakt 50%, Satzung einfache Mehrheit, Nebenabrede mit Vetorecht nicht notariell/satzungsmäßig gesichert.</w:t>
      </w:r>
    </w:p>
    <w:p>
      <w:pPr>
        <w:pStyle w:val="ListBullet"/>
      </w:pPr>
      <w:r>
        <w:rPr>
          <w:b/>
        </w:rPr>
        <w:t>Freie anwaltliche Mitarbeiterin:</w:t>
      </w:r>
      <w:r>
        <w:t xml:space="preserve"> nutzt Kanzlei-/Schul-Mail, spricht mit Eltern und Vertragspartnern, rechnet monatlich pauschal ab.</w:t>
      </w:r>
    </w:p>
    <w:p>
      <w:pPr>
        <w:pStyle w:val="ListBullet"/>
      </w:pPr>
      <w:r>
        <w:rPr>
          <w:b/>
        </w:rPr>
        <w:t>IT-Freelancer:</w:t>
      </w:r>
      <w:r>
        <w:t xml:space="preserve"> Jira, Teams, Adminzugang, zwei Onsite-Tage pro Woche, aber eigene GmbH und mehrere Kunden.</w:t>
      </w:r>
    </w:p>
    <w:p>
      <w:pPr>
        <w:pStyle w:val="ListBullet"/>
      </w:pPr>
      <w:r>
        <w:rPr>
          <w:b/>
        </w:rPr>
        <w:t>Online-Tutorinnen:</w:t>
      </w:r>
      <w:r>
        <w:t xml:space="preserve"> Plattformsteuerung und Preisvorgabe, aber freier Ort.</w:t>
      </w:r>
    </w:p>
    <w:p>
      <w:pPr>
        <w:pStyle w:val="Heading2"/>
      </w:pPr>
      <w:r>
        <w:rPr>
          <w:rFonts w:ascii="Times New Roman" w:hAnsi="Times New Roman"/>
        </w:rPr>
        <w:t>Gewünschte Outputs</w:t>
      </w:r>
    </w:p>
    <w:p>
      <w:pPr>
        <w:pStyle w:val="ListNumber"/>
      </w:pPr>
      <w:r>
        <w:t>Indizienmatrix mit Vertrag vs. Praxis.</w:t>
      </w:r>
    </w:p>
    <w:p>
      <w:pPr>
        <w:pStyle w:val="ListNumber"/>
      </w:pPr>
      <w:r>
        <w:t>Erwiderung auf DRV-Anhörung.</w:t>
      </w:r>
    </w:p>
    <w:p>
      <w:pPr>
        <w:pStyle w:val="ListNumber"/>
      </w:pPr>
      <w:r>
        <w:t>Sanierungsplan für Honorarverträge und tatsächliche Durchführung.</w:t>
      </w:r>
    </w:p>
    <w:p>
      <w:pPr>
        <w:pStyle w:val="ListNumber"/>
      </w:pPr>
      <w:r>
        <w:t>GF-Statusnotiz 50%-Patt und Sperrminorität.</w:t>
      </w:r>
    </w:p>
    <w:p>
      <w:pPr>
        <w:pStyle w:val="ListNumber"/>
      </w:pPr>
      <w:r>
        <w:t>Beitragsrisiko mit Szenarien und Kommunikationslinie gegenüber Vorstand.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