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Musikschullehrer - Einordnung und Übergang</w:t>
      </w:r>
    </w:p>
    <w:p>
      <w:pPr>
        <w:jc w:val="left"/>
      </w:pPr>
      <w:r>
        <w:t>Die Musikschule hat nach der neueren höchstrichterlichen Linie ihre Honorarlehrkräfte nicht mehr pauschal als “typisch selbständig” behandelt. Entscheidend ist nicht die Überschrift des Vertrags, sondern der Unterrichtsbetrieb: Wer teilt Schüler zu? Wer legt Räume und Zeiten fest? Wer trägt Ausfallrisiko? Wer kommuniziert mit Eltern? Kann die Lehrkraft eigene Preise setzen, eigene Konzepte nutzen, eigene Vertretung schicken und außerhalb der Musikschule am Markt auftreten?</w:t>
      </w:r>
    </w:p>
    <w:p>
      <w:pPr>
        <w:pStyle w:val="Heading2"/>
      </w:pPr>
      <w:r>
        <w:rPr>
          <w:rFonts w:ascii="Times New Roman" w:hAnsi="Times New Roman"/>
        </w:rPr>
        <w:t>Klingenhain-Besonderheiten</w:t>
      </w:r>
    </w:p>
    <w:p>
      <w:pPr>
        <w:pStyle w:val="ListBullet"/>
      </w:pPr>
      <w:r>
        <w:t>In den Verträgen steht freie Zeiteinteilung. Der Schulportalplan zeigt aber feste Slots für das Halbjahr.</w:t>
      </w:r>
    </w:p>
    <w:p>
      <w:pPr>
        <w:pStyle w:val="ListBullet"/>
      </w:pPr>
      <w:r>
        <w:t>Vertretung ist erlaubt. Im Chat bittet die Verwaltung ausdrücklich um vorherige Freigabe jeder Vertretung.</w:t>
      </w:r>
    </w:p>
    <w:p>
      <w:pPr>
        <w:pStyle w:val="ListBullet"/>
      </w:pPr>
      <w:r>
        <w:t>Rechnungen werden als “Honorar” geschrieben, aber nach Unterrichtseinheiten aus zentraler Liste erstellt.</w:t>
      </w:r>
    </w:p>
    <w:p>
      <w:pPr>
        <w:pStyle w:val="ListBullet"/>
      </w:pPr>
      <w:r>
        <w:t>Einige Lehrkräfte haben nennenswerte eigene Studios; andere arbeiten fast ausschließlich für Klingenhain.</w:t>
      </w:r>
    </w:p>
    <w:p>
      <w:pPr>
        <w:pStyle w:val="Heading2"/>
      </w:pPr>
      <w:r>
        <w:rPr>
          <w:rFonts w:ascii="Times New Roman" w:hAnsi="Times New Roman"/>
        </w:rPr>
        <w:t>Arbeitsauftrag</w:t>
      </w:r>
    </w:p>
    <w:p>
      <w:pPr>
        <w:jc w:val="left"/>
      </w:pPr>
      <w:r>
        <w:t>Nicht alle über einen Kamm. Cluster bilden: echte Selbständige, gefährdete Honorarkräfte, Umstellungskandidaten, Sonderfälle Ehrenamt/KSK/Rentenpflicht. Zusätzlich Übergangs- und Vertrauensschutzfragen prüfen, aber nicht als Freifahrtschein verkaufen.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