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Geschäftsführerstatus - exakt 50 Prozent und Nebenabrede</w:t>
      </w:r>
    </w:p>
    <w:p>
      <w:pPr>
        <w:jc w:val="left"/>
      </w:pPr>
      <w:r>
        <w:t>Dr. Balduin Klingenhain hält 50% der Geschäftsanteile. Die andere Hälfte liegt bei der Kulturhof Stiftung. Die Satzung sieht für gewöhnliche Beschlüsse einfache Mehrheit vor; bei Stimmengleichheit gilt ein Beschluss als abgelehnt. Ein nicht notariell beurkundeter “Gründerbrief” von 2021 gibt Dr. Klingenhain ein Vetorecht gegen Personalabbau, Aufnahme neuer Gesellschafter und Änderung des Unterrichtsprofils.</w:t>
      </w:r>
    </w:p>
    <w:p>
      <w:pPr>
        <w:pStyle w:val="Heading2"/>
      </w:pPr>
      <w:r>
        <w:rPr>
          <w:rFonts w:ascii="Times New Roman" w:hAnsi="Times New Roman"/>
        </w:rPr>
        <w:t>Problem</w:t>
      </w:r>
    </w:p>
    <w:p>
      <w:pPr>
        <w:jc w:val="left"/>
      </w:pPr>
      <w:r>
        <w:t>Eine echte sozialversicherungsrechtliche Blockademacht muss rechtlich gesichert und umfassend genug sein, um unliebsame Weisungen zu verhindern. Rein faktische Rücksichtnahme, familiäre oder reputative Macht und bloße Nebenabreden reichen typischerweise nicht ohne weiteres. Bei exakt 50% kann eine Pattsituation stark sein, aber sie muss anhand Satzung, Mehrheiten, Geschäftsordnung und Abberufungs-/Weisungsrechten geprüft werden.</w:t>
      </w:r>
    </w:p>
    <w:p>
      <w:pPr>
        <w:pStyle w:val="Heading2"/>
      </w:pPr>
      <w:r>
        <w:rPr>
          <w:rFonts w:ascii="Times New Roman" w:hAnsi="Times New Roman"/>
        </w:rPr>
        <w:t>Offene Belege</w:t>
      </w:r>
    </w:p>
    <w:p>
      <w:pPr>
        <w:pStyle w:val="ListBullet"/>
      </w:pPr>
      <w:r>
        <w:t>aktuelle Satzung und Gesellschafterliste,</w:t>
      </w:r>
    </w:p>
    <w:p>
      <w:pPr>
        <w:pStyle w:val="ListBullet"/>
      </w:pPr>
      <w:r>
        <w:t>Geschäftsführer-Dienstvertrag,</w:t>
      </w:r>
    </w:p>
    <w:p>
      <w:pPr>
        <w:pStyle w:val="ListBullet"/>
      </w:pPr>
      <w:r>
        <w:t>Geschäftsordnung,</w:t>
      </w:r>
    </w:p>
    <w:p>
      <w:pPr>
        <w:pStyle w:val="ListBullet"/>
      </w:pPr>
      <w:r>
        <w:t>Gründerbrief/Nebenabrede,</w:t>
      </w:r>
    </w:p>
    <w:p>
      <w:pPr>
        <w:pStyle w:val="ListBullet"/>
      </w:pPr>
      <w:r>
        <w:t>Protokolle 2022-2026,</w:t>
      </w:r>
    </w:p>
    <w:p>
      <w:pPr>
        <w:pStyle w:val="ListBullet"/>
      </w:pPr>
      <w:r>
        <w:t>tatsächliche Weisungen oder abgelehnte Weisungen,</w:t>
      </w:r>
    </w:p>
    <w:p>
      <w:pPr>
        <w:pStyle w:val="ListBullet"/>
      </w:pPr>
      <w:r>
        <w:t>Abberufungsregeln und Katalog zustimmungspflichtiger Geschäfte.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