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Rohentwurf Erwiderung / Widerspruchslinie</w:t>
      </w:r>
    </w:p>
    <w:p>
      <w:pPr>
        <w:jc w:val="left"/>
      </w:pPr>
      <w:r>
        <w:t>Sehr geehrte Damen und Herren,</w:t>
      </w:r>
    </w:p>
    <w:p>
      <w:pPr>
        <w:jc w:val="left"/>
      </w:pPr>
      <w:r>
        <w:t>wir nehmen zur Anhörung im Rahmen der Betriebsprüfung Stellung. Die pauschale Einordnung sämtlicher Honorarlehrkräfte als Beschäftigte wird der tatsächlichen Bandbreite der Vertragsverhältnisse nicht gerecht. Die Mandantin unterhält sowohl fest angestellte Lehrkräfte als auch freie Lehrkräfte mit eigener Unterrichtsorganisation, eigenem Marktauftritt, mehreren Auftraggebern und eigenem Ausfall- und Unternehmerrisiko.</w:t>
      </w:r>
    </w:p>
    <w:p>
      <w:pPr>
        <w:jc w:val="left"/>
      </w:pPr>
      <w:r>
        <w:t>Für die Gruppe der Lehrkräfte mit festen Raum- und Stundenplänen wird die Mandantin eine Umstellung prüfen und die tatsächliche Durchführung offenlegen. Für die Gruppe mit eigenem Studio, eigener Preisgestaltung, eigener Schülerakquise und Vertretungsrecht bitten wir dagegen um gesonderte Würdigung.</w:t>
      </w:r>
    </w:p>
    <w:p>
      <w:pPr>
        <w:jc w:val="left"/>
      </w:pPr>
      <w:r>
        <w:t>Beim Geschäftsführer Dr. Klingenhain ist die gesellschaftsrechtliche Stellung anhand Satzung, Geschäftsordnung und Beschlussmehrheiten zu prüfen. Die Beteiligung beträgt exakt 50%. Es besteht eine Pattsituation; die Reichweite der Blockademacht ist nicht ohne Durchsicht der Gesellschaftsdokumente zu entscheiden.</w:t>
      </w:r>
    </w:p>
    <w:p>
      <w:pPr>
        <w:jc w:val="left"/>
      </w:pPr>
      <w:r>
        <w:t>Wir reichen die angekündigte Indizienmatrix, Verträge, Unterrichtspläne und Rechnungslisten binnen der gesetzten Frist nach.</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