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 und Belege</w:t>
      </w:r>
    </w:p>
    <w:p>
      <w:pPr>
        <w:pStyle w:val="Heading2"/>
      </w:pPr>
      <w:r>
        <w:rPr>
          <w:rFonts w:ascii="Times New Roman" w:hAnsi="Times New Roman"/>
        </w:rPr>
        <w:t>Personen</w:t>
      </w:r>
    </w:p>
    <w:p>
      <w:pPr>
        <w:pStyle w:val="ListBullet"/>
      </w:pPr>
      <w:r>
        <w:t>Verwaltungsleiterin Helene Moorbach: Stundenplan, Räume, Vertretungen.</w:t>
      </w:r>
    </w:p>
    <w:p>
      <w:pPr>
        <w:pStyle w:val="ListBullet"/>
      </w:pPr>
      <w:r>
        <w:t>Sekretariat Nora Vellbrück: Elternkommunikation, Krankmeldungen, Rechnungsprüfung.</w:t>
      </w:r>
    </w:p>
    <w:p>
      <w:pPr>
        <w:pStyle w:val="ListBullet"/>
      </w:pPr>
      <w:r>
        <w:t>Kunigunde Rautenberg: feste Klavierkurse, kein eigener Marktauftritt.</w:t>
      </w:r>
    </w:p>
    <w:p>
      <w:pPr>
        <w:pStyle w:val="ListBullet"/>
      </w:pPr>
      <w:r>
        <w:t>Meinhard Seidenbusch: eigenes Studio, eigene Website, mehrere Auftraggeber.</w:t>
      </w:r>
    </w:p>
    <w:p>
      <w:pPr>
        <w:pStyle w:val="ListBullet"/>
      </w:pPr>
      <w:r>
        <w:t>Tiberius Falk: IT-Projekt, Jira, Onsite-Tage.</w:t>
      </w:r>
    </w:p>
    <w:p>
      <w:pPr>
        <w:pStyle w:val="ListBullet"/>
      </w:pPr>
      <w:r>
        <w:t>RAin Ottilie Remstädt: Kanzleirolle und Außenauftritt.</w:t>
      </w:r>
    </w:p>
    <w:p>
      <w:pPr>
        <w:pStyle w:val="Heading2"/>
      </w:pPr>
      <w:r>
        <w:rPr>
          <w:rFonts w:ascii="Times New Roman" w:hAnsi="Times New Roman"/>
        </w:rPr>
        <w:t>Belege</w:t>
      </w:r>
    </w:p>
    <w:p>
      <w:pPr>
        <w:pStyle w:val="ListBullet"/>
      </w:pPr>
      <w:r>
        <w:t>Schulportal-Exporte 2022-2026,</w:t>
      </w:r>
    </w:p>
    <w:p>
      <w:pPr>
        <w:pStyle w:val="ListBullet"/>
      </w:pPr>
      <w:r>
        <w:t>Honorarkraftverträge mit Nachträgen,</w:t>
      </w:r>
    </w:p>
    <w:p>
      <w:pPr>
        <w:pStyle w:val="ListBullet"/>
      </w:pPr>
      <w:r>
        <w:t>Rechnungslisten und Zahlungsjournal,</w:t>
      </w:r>
    </w:p>
    <w:p>
      <w:pPr>
        <w:pStyle w:val="ListBullet"/>
      </w:pPr>
      <w:r>
        <w:t>WhatsApp- und Teams-Nachrichten,</w:t>
      </w:r>
    </w:p>
    <w:p>
      <w:pPr>
        <w:pStyle w:val="ListBullet"/>
      </w:pPr>
      <w:r>
        <w:t>Raumbelegungspläne,</w:t>
      </w:r>
    </w:p>
    <w:p>
      <w:pPr>
        <w:pStyle w:val="ListBullet"/>
      </w:pPr>
      <w:r>
        <w:t>E-Mail-Signaturen und Elternbriefe,</w:t>
      </w:r>
    </w:p>
    <w:p>
      <w:pPr>
        <w:pStyle w:val="ListBullet"/>
      </w:pPr>
      <w:r>
        <w:t>Satzung, Geschäftsordnung, Gesellschafterliste,</w:t>
      </w:r>
    </w:p>
    <w:p>
      <w:pPr>
        <w:pStyle w:val="ListBullet"/>
      </w:pPr>
      <w:r>
        <w:t>DRV-Schreiben und Fristenkalender.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