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Elternbeschwerde - 17.04.2026</w:t>
      </w:r>
    </w:p>
    <w:p>
      <w:pPr>
        <w:jc w:val="left"/>
      </w:pPr>
      <w:r>
        <w:t>Herr Brammenfeld ruft wegen ausgefallener Gitarrenstunde seines Sohnes an. Er sagt, die Verwaltung habe ihm zugesichert, “die Schule” stelle immer eine Ersatzlehrkraft. Auf Nachfrage nennt er nicht den Namen des Gitarrenlehrers, sondern sagt: “Das ist mir egal, wir haben den Vertrag mit Klingenhain.”</w:t>
      </w:r>
    </w:p>
    <w:p>
      <w:pPr>
        <w:jc w:val="left"/>
      </w:pPr>
      <w:r>
        <w:t>Die Verwaltungsleiterin schrieb anschließend an Meinhard Seidenbusch: “Bitte künftig Ersatz nicht selbst mit den Eltern besprechen. Wir geben den Raum und die Vertretung frei, sonst wird der Plan unübersichtlich.”</w:t>
      </w:r>
    </w:p>
    <w:p>
      <w:pPr>
        <w:pStyle w:val="Heading2"/>
      </w:pPr>
      <w:r>
        <w:rPr>
          <w:rFonts w:ascii="Times New Roman" w:hAnsi="Times New Roman"/>
        </w:rPr>
        <w:t>Bedeutung</w:t>
      </w:r>
    </w:p>
    <w:p>
      <w:pPr>
        <w:jc w:val="left"/>
      </w:pPr>
      <w:r>
        <w:t>Für Meinhard ist die Akte eigentlich eher selbständig. Diese Notiz spricht aber gegen freie Vertretungsorganisation und für zentrale Steuerung der Kundenbeziehung. Sie ist kein Todesstoß, aber ein guter Realitätscheck gegen zu schöne Vertragsklauseln.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