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Statusanhörung Familienbetrieb</w:t>
      </w:r>
    </w:p>
    <w:p>
      <w:pPr>
        <w:pStyle w:val="Heading2"/>
      </w:pPr>
      <w:r>
        <w:rPr>
          <w:rFonts w:ascii="Times New Roman" w:hAnsi="Times New Roman"/>
        </w:rPr>
        <w:t>1. Beteiligte</w:t>
      </w:r>
    </w:p>
    <w:p>
      <w:pPr>
        <w:jc w:val="left"/>
      </w:pPr>
      <w:r>
        <w:t>Auftraggeber ist die Bäckerei Kleinschmidt OHG, Lange Straße 41, 44532 Lünen. Gesellschafter sind die Eltern Rolf und Mechthild Kleinschmidt. Betroffene Person ist die Tochter Nora Kleinschmidt, geboren am 03.04.1994, gelernte Industriekauffrau, seit 2022 als Einzelunternehmerin unter Kleinschmidt Büroservice angemeldet.</w:t>
      </w:r>
    </w:p>
    <w:p>
      <w:pPr>
        <w:pStyle w:val="Heading2"/>
      </w:pPr>
      <w:r>
        <w:rPr>
          <w:rFonts w:ascii="Times New Roman" w:hAnsi="Times New Roman"/>
        </w:rPr>
        <w:t>2. Verfahrensstand</w:t>
      </w:r>
    </w:p>
    <w:p>
      <w:pPr>
        <w:jc w:val="left"/>
      </w:pPr>
      <w:r>
        <w:t>Die DRV Bund Clearingstelle führt ein Statusfeststellungsverfahren nach Antrag der Barmer durch. Anhörung vom 25.06.2026, Zugang 27.06.2026, Stellungnahmefrist 22.07.2026. Die Kasse zweifelt an der Selbständigkeit, weil Nora montags bis freitags morgens in der Backstube abrechnet, Dienstpläne schreibt, Kassendifferenzen klärt und bei Personalausfall selbst im Verkauf steht.</w:t>
      </w:r>
    </w:p>
    <w:p>
      <w:pPr>
        <w:pStyle w:val="Heading2"/>
      </w:pPr>
      <w:r>
        <w:rPr>
          <w:rFonts w:ascii="Times New Roman" w:hAnsi="Times New Roman"/>
        </w:rPr>
        <w:t>3. Streitiges Bild</w:t>
      </w:r>
    </w:p>
    <w:p>
      <w:pPr>
        <w:jc w:val="left"/>
      </w:pPr>
      <w:r>
        <w:t>Der Vertrag nennt Buchhaltungsservice, Social-Media-Pflege und Filialcontrolling. Die tatsächliche Durchführung geht weiter: Nora erhält monatlich 3.200 EUR netto pauschal, nutzt das Büro der OHG, trägt keine eigene Miete, hat eine Bäckerei-Mailadresse und genehmigt Urlaub der Verkäufer. Andererseits stellt sie Rechnungen, betreut zwei kleinere Fremdkunden und trägt Kosten für Laptop, Steuerberater und Berufshaftpflicht.</w:t>
      </w:r>
    </w:p>
    <w:p>
      <w:pPr>
        <w:pStyle w:val="Heading2"/>
      </w:pPr>
      <w:r>
        <w:rPr>
          <w:rFonts w:ascii="Times New Roman" w:hAnsi="Times New Roman"/>
        </w:rPr>
        <w:t>4. Rentenberaterliche Linie</w:t>
      </w:r>
    </w:p>
    <w:p>
      <w:pPr>
        <w:jc w:val="left"/>
      </w:pPr>
      <w:r>
        <w:t>Nicht reflexhaft Selbständigkeit behaupten. Erst Tätigkeitsschichten trennen: Büroservice, operative Filialleitung, familiäre Mithilfe, Kassenvertretung. Dann Beitragsrisiko, Säumniszuschläge, mögliche spätere Rentenanwartschaft und Vertrauensschutz gesondert prüfen. Für außerbetriebliche Familien- und Steuerfragen nur koordinieren.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