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Dienstplan- und Kassenauszug</w:t>
      </w:r>
    </w:p>
    <w:p>
      <w:pPr>
        <w:pStyle w:val="Heading2"/>
      </w:pPr>
      <w:r>
        <w:rPr>
          <w:rFonts w:ascii="Times New Roman" w:hAnsi="Times New Roman"/>
        </w:rPr>
        <w:t>1. Dienstplanwoche 15/2026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Filiale Marktstraße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Filiale Brambauer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Nora-Eintrag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Montag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5:30 bis 13:00 Kröger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6:00 bis 12:00 Altun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6:20 Kasse, 9:00 Personalliste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Dienstag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5:30 bis 13:00 Lenz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6:00 bis 12:00 Altun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6:30 Kasse, 11:30 Springerdienst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Mittwoch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5:30 bis 13:00 Kröger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krank 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Nora 8:00 bis 12:00 Verkauf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Donnerstag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5:30 bis 13:00 Lenz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6:00 bis 12:00 Pehlke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6:25 Kasse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Freitag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5:30 bis 13:00 Kröger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6:00 bis 12:00 Pehlke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6:30 Kasse, Urlaub genehmigt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2. Kassendifferenzen</w:t>
      </w:r>
    </w:p>
    <w:p>
      <w:pPr>
        <w:jc w:val="left"/>
      </w:pPr>
      <w:r>
        <w:t>Am 17.04.2026 wurde eine Differenz von 88 EUR in Brambauer festgestellt. Nora vermerkte: "M. Altun Ermahnung vorbereitet, vorher mit Papa absprechen." Dies spricht eher für Einbindung in Personalmaßnahmen als für reinen Buchhaltungsservice.</w:t>
      </w:r>
    </w:p>
    <w:p>
      <w:pPr>
        <w:pStyle w:val="Heading2"/>
      </w:pPr>
      <w:r>
        <w:rPr>
          <w:rFonts w:ascii="Times New Roman" w:hAnsi="Times New Roman"/>
        </w:rPr>
        <w:t>3. Eigene Kunden</w:t>
      </w:r>
    </w:p>
    <w:p>
      <w:pPr>
        <w:jc w:val="left"/>
      </w:pPr>
      <w:r>
        <w:t>Nora nennt als Fremdkunden den Friseursalon Elbe und den Hofladen Rottmann. Für beide liegen nur Quartalsrechnungen über jeweils unter 450 EUR vor. Umfang und wirtschaftliches Gewicht müssen konkret nachgewiesen werden.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