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Indizienmatrix Familienbetrieb</w:t>
      </w:r>
    </w:p>
    <w:p>
      <w:pPr>
        <w:pStyle w:val="Heading2"/>
      </w:pPr>
      <w:r>
        <w:rPr>
          <w:rFonts w:ascii="Times New Roman" w:hAnsi="Times New Roman"/>
        </w:rPr>
        <w:t>1. Matrix</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Indiz</w:t>
            </w:r>
          </w:p>
        </w:tc>
        <w:tc>
          <w:tcPr>
            <w:tcW w:type="dxa" w:w="2268"/>
          </w:tcPr>
          <w:p>
            <w:r>
              <w:rPr>
                <w:rFonts w:ascii="Times New Roman" w:hAnsi="Times New Roman"/>
                <w:b/>
                <w:sz w:val="20"/>
              </w:rPr>
              <w:t>Beschäftigung</w:t>
            </w:r>
          </w:p>
        </w:tc>
        <w:tc>
          <w:tcPr>
            <w:tcW w:type="dxa" w:w="2268"/>
          </w:tcPr>
          <w:p>
            <w:r>
              <w:rPr>
                <w:rFonts w:ascii="Times New Roman" w:hAnsi="Times New Roman"/>
                <w:b/>
                <w:sz w:val="20"/>
              </w:rPr>
              <w:t>Selbständigkeit</w:t>
            </w:r>
          </w:p>
        </w:tc>
        <w:tc>
          <w:tcPr>
            <w:tcW w:type="dxa" w:w="2268"/>
          </w:tcPr>
          <w:p>
            <w:r>
              <w:rPr>
                <w:rFonts w:ascii="Times New Roman" w:hAnsi="Times New Roman"/>
                <w:b/>
                <w:sz w:val="20"/>
              </w:rPr>
              <w:t>Beleg</w:t>
            </w:r>
          </w:p>
        </w:tc>
      </w:tr>
      <w:tr>
        <w:tc>
          <w:tcPr>
            <w:tcW w:type="dxa" w:w="2268"/>
          </w:tcPr>
          <w:p>
            <w:r>
              <w:rPr>
                <w:rFonts w:ascii="Times New Roman" w:hAnsi="Times New Roman"/>
                <w:sz w:val="20"/>
              </w:rPr>
              <w:t>feste Morgenpräsenz</w:t>
            </w:r>
          </w:p>
        </w:tc>
        <w:tc>
          <w:tcPr>
            <w:tcW w:type="dxa" w:w="2268"/>
          </w:tcPr>
          <w:p>
            <w:r>
              <w:rPr>
                <w:rFonts w:ascii="Times New Roman" w:hAnsi="Times New Roman"/>
                <w:sz w:val="20"/>
              </w:rPr>
              <w:t>tägliche Kassenroutine</w:t>
            </w:r>
          </w:p>
        </w:tc>
        <w:tc>
          <w:tcPr>
            <w:tcW w:type="dxa" w:w="2268"/>
          </w:tcPr>
          <w:p>
            <w:r>
              <w:rPr>
                <w:rFonts w:ascii="Times New Roman" w:hAnsi="Times New Roman"/>
                <w:sz w:val="20"/>
              </w:rPr>
              <w:t>kein schriftlicher Stundenplan</w:t>
            </w:r>
          </w:p>
        </w:tc>
        <w:tc>
          <w:tcPr>
            <w:tcW w:type="dxa" w:w="2268"/>
          </w:tcPr>
          <w:p>
            <w:r>
              <w:rPr>
                <w:rFonts w:ascii="Times New Roman" w:hAnsi="Times New Roman"/>
                <w:sz w:val="20"/>
              </w:rPr>
              <w:t>Dienstplan, WhatsApp</w:t>
            </w:r>
          </w:p>
        </w:tc>
      </w:tr>
      <w:tr>
        <w:tc>
          <w:tcPr>
            <w:tcW w:type="dxa" w:w="2268"/>
          </w:tcPr>
          <w:p>
            <w:r>
              <w:rPr>
                <w:rFonts w:ascii="Times New Roman" w:hAnsi="Times New Roman"/>
                <w:sz w:val="20"/>
              </w:rPr>
              <w:t>Vergütung</w:t>
            </w:r>
          </w:p>
        </w:tc>
        <w:tc>
          <w:tcPr>
            <w:tcW w:type="dxa" w:w="2268"/>
          </w:tcPr>
          <w:p>
            <w:r>
              <w:rPr>
                <w:rFonts w:ascii="Times New Roman" w:hAnsi="Times New Roman"/>
                <w:sz w:val="20"/>
              </w:rPr>
              <w:t>gleichbleibende Pauschale</w:t>
            </w:r>
          </w:p>
        </w:tc>
        <w:tc>
          <w:tcPr>
            <w:tcW w:type="dxa" w:w="2268"/>
          </w:tcPr>
          <w:p>
            <w:r>
              <w:rPr>
                <w:rFonts w:ascii="Times New Roman" w:hAnsi="Times New Roman"/>
                <w:sz w:val="20"/>
              </w:rPr>
              <w:t>Rechnung mit Umsatzsteuer</w:t>
            </w:r>
          </w:p>
        </w:tc>
        <w:tc>
          <w:tcPr>
            <w:tcW w:type="dxa" w:w="2268"/>
          </w:tcPr>
          <w:p>
            <w:r>
              <w:rPr>
                <w:rFonts w:ascii="Times New Roman" w:hAnsi="Times New Roman"/>
                <w:sz w:val="20"/>
              </w:rPr>
              <w:t>Rechnungen 2022 bis 2026</w:t>
            </w:r>
          </w:p>
        </w:tc>
      </w:tr>
      <w:tr>
        <w:tc>
          <w:tcPr>
            <w:tcW w:type="dxa" w:w="2268"/>
          </w:tcPr>
          <w:p>
            <w:r>
              <w:rPr>
                <w:rFonts w:ascii="Times New Roman" w:hAnsi="Times New Roman"/>
                <w:sz w:val="20"/>
              </w:rPr>
              <w:t>Weisungen</w:t>
            </w:r>
          </w:p>
        </w:tc>
        <w:tc>
          <w:tcPr>
            <w:tcW w:type="dxa" w:w="2268"/>
          </w:tcPr>
          <w:p>
            <w:r>
              <w:rPr>
                <w:rFonts w:ascii="Times New Roman" w:hAnsi="Times New Roman"/>
                <w:sz w:val="20"/>
              </w:rPr>
              <w:t>Urlaub, Kasse, Verkauf</w:t>
            </w:r>
          </w:p>
        </w:tc>
        <w:tc>
          <w:tcPr>
            <w:tcW w:type="dxa" w:w="2268"/>
          </w:tcPr>
          <w:p>
            <w:r>
              <w:rPr>
                <w:rFonts w:ascii="Times New Roman" w:hAnsi="Times New Roman"/>
                <w:sz w:val="20"/>
              </w:rPr>
              <w:t>familiäre Abstimmung</w:t>
            </w:r>
          </w:p>
        </w:tc>
        <w:tc>
          <w:tcPr>
            <w:tcW w:type="dxa" w:w="2268"/>
          </w:tcPr>
          <w:p>
            <w:r>
              <w:rPr>
                <w:rFonts w:ascii="Times New Roman" w:hAnsi="Times New Roman"/>
                <w:sz w:val="20"/>
              </w:rPr>
              <w:t>handschriftliche Notizen</w:t>
            </w:r>
          </w:p>
        </w:tc>
      </w:tr>
      <w:tr>
        <w:tc>
          <w:tcPr>
            <w:tcW w:type="dxa" w:w="2268"/>
          </w:tcPr>
          <w:p>
            <w:r>
              <w:rPr>
                <w:rFonts w:ascii="Times New Roman" w:hAnsi="Times New Roman"/>
                <w:sz w:val="20"/>
              </w:rPr>
              <w:t>Betriebsmittel</w:t>
            </w:r>
          </w:p>
        </w:tc>
        <w:tc>
          <w:tcPr>
            <w:tcW w:type="dxa" w:w="2268"/>
          </w:tcPr>
          <w:p>
            <w:r>
              <w:rPr>
                <w:rFonts w:ascii="Times New Roman" w:hAnsi="Times New Roman"/>
                <w:sz w:val="20"/>
              </w:rPr>
              <w:t>Büro, Kasse, Mailadresse der OHG</w:t>
            </w:r>
          </w:p>
        </w:tc>
        <w:tc>
          <w:tcPr>
            <w:tcW w:type="dxa" w:w="2268"/>
          </w:tcPr>
          <w:p>
            <w:r>
              <w:rPr>
                <w:rFonts w:ascii="Times New Roman" w:hAnsi="Times New Roman"/>
                <w:sz w:val="20"/>
              </w:rPr>
              <w:t>eigener Laptop</w:t>
            </w:r>
          </w:p>
        </w:tc>
        <w:tc>
          <w:tcPr>
            <w:tcW w:type="dxa" w:w="2268"/>
          </w:tcPr>
          <w:p>
            <w:r>
              <w:rPr>
                <w:rFonts w:ascii="Times New Roman" w:hAnsi="Times New Roman"/>
                <w:sz w:val="20"/>
              </w:rPr>
              <w:t>Fotos, Rechnungen</w:t>
            </w:r>
          </w:p>
        </w:tc>
      </w:tr>
      <w:tr>
        <w:tc>
          <w:tcPr>
            <w:tcW w:type="dxa" w:w="2268"/>
          </w:tcPr>
          <w:p>
            <w:r>
              <w:rPr>
                <w:rFonts w:ascii="Times New Roman" w:hAnsi="Times New Roman"/>
                <w:sz w:val="20"/>
              </w:rPr>
              <w:t>Unternehmerrisiko</w:t>
            </w:r>
          </w:p>
        </w:tc>
        <w:tc>
          <w:tcPr>
            <w:tcW w:type="dxa" w:w="2268"/>
          </w:tcPr>
          <w:p>
            <w:r>
              <w:rPr>
                <w:rFonts w:ascii="Times New Roman" w:hAnsi="Times New Roman"/>
                <w:sz w:val="20"/>
              </w:rPr>
              <w:t>kaum Forderungsausfall</w:t>
            </w:r>
          </w:p>
        </w:tc>
        <w:tc>
          <w:tcPr>
            <w:tcW w:type="dxa" w:w="2268"/>
          </w:tcPr>
          <w:p>
            <w:r>
              <w:rPr>
                <w:rFonts w:ascii="Times New Roman" w:hAnsi="Times New Roman"/>
                <w:sz w:val="20"/>
              </w:rPr>
              <w:t>zwei Fremdkunden</w:t>
            </w:r>
          </w:p>
        </w:tc>
        <w:tc>
          <w:tcPr>
            <w:tcW w:type="dxa" w:w="2268"/>
          </w:tcPr>
          <w:p>
            <w:r>
              <w:rPr>
                <w:rFonts w:ascii="Times New Roman" w:hAnsi="Times New Roman"/>
                <w:sz w:val="20"/>
              </w:rPr>
              <w:t>Kontoauszüge</w:t>
            </w:r>
          </w:p>
        </w:tc>
      </w:tr>
      <w:tr>
        <w:tc>
          <w:tcPr>
            <w:tcW w:type="dxa" w:w="2268"/>
          </w:tcPr>
          <w:p>
            <w:r>
              <w:rPr>
                <w:rFonts w:ascii="Times New Roman" w:hAnsi="Times New Roman"/>
                <w:sz w:val="20"/>
              </w:rPr>
              <w:t>Vertretung</w:t>
            </w:r>
          </w:p>
        </w:tc>
        <w:tc>
          <w:tcPr>
            <w:tcW w:type="dxa" w:w="2268"/>
          </w:tcPr>
          <w:p>
            <w:r>
              <w:rPr>
                <w:rFonts w:ascii="Times New Roman" w:hAnsi="Times New Roman"/>
                <w:sz w:val="20"/>
              </w:rPr>
              <w:t>nur nach Anzeige</w:t>
            </w:r>
          </w:p>
        </w:tc>
        <w:tc>
          <w:tcPr>
            <w:tcW w:type="dxa" w:w="2268"/>
          </w:tcPr>
          <w:p>
            <w:r>
              <w:rPr>
                <w:rFonts w:ascii="Times New Roman" w:hAnsi="Times New Roman"/>
                <w:sz w:val="20"/>
              </w:rPr>
              <w:t>vertraglich erlaubt</w:t>
            </w:r>
          </w:p>
        </w:tc>
        <w:tc>
          <w:tcPr>
            <w:tcW w:type="dxa" w:w="2268"/>
          </w:tcPr>
          <w:p>
            <w:r>
              <w:rPr>
                <w:rFonts w:ascii="Times New Roman" w:hAnsi="Times New Roman"/>
                <w:sz w:val="20"/>
              </w:rPr>
              <w:t>Vertrag, keine echte Nutzung</w:t>
            </w:r>
          </w:p>
        </w:tc>
      </w:tr>
    </w:tbl>
    <w:p>
      <w:pPr>
        <w:pStyle w:val="Heading2"/>
      </w:pPr>
      <w:r>
        <w:rPr>
          <w:rFonts w:ascii="Times New Roman" w:hAnsi="Times New Roman"/>
        </w:rPr>
        <w:t>2. Arbeitshypothese</w:t>
      </w:r>
    </w:p>
    <w:p>
      <w:pPr>
        <w:jc w:val="left"/>
      </w:pPr>
      <w:r>
        <w:t>Büroservice und Social-Media-Leistungen könnten selbständige Elemente enthalten. Operative Filialleitung, Kassendienst und Personalsteuerung wirken wie funktionsgerecht dienende Teilhabe am Betrieb. Die Stellungnahme sollte nicht einheitlich alles verteidigen, sondern die Tätigkeit nach Zeitanteilen und Funktionsbereichen zerlegen.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