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Stellungnahmeentwurf an die Clearingstelle</w:t>
      </w:r>
    </w:p>
    <w:p>
      <w:pPr>
        <w:pStyle w:val="Heading2"/>
      </w:pPr>
      <w:r>
        <w:rPr>
          <w:rFonts w:ascii="Times New Roman" w:hAnsi="Times New Roman"/>
        </w:rPr>
        <w:t>1. Vorbemerkung</w:t>
      </w:r>
    </w:p>
    <w:p>
      <w:pPr>
        <w:jc w:val="left"/>
      </w:pPr>
      <w:r>
        <w:t>Die Beteiligten bitten um getrennte Würdigung der verschiedenen Tätigkeitsanteile. Der Vertrag vom 28.12.2021 beschreibt vor allem Buchhaltungs- und Auswertungsleistungen. Die spätere betriebliche Praxis enthält zusätzliche operative Tätigkeiten, deren Umfang erst nach Auswertung der Dienstpläne belastbar beziffert werden kann.</w:t>
      </w:r>
    </w:p>
    <w:p>
      <w:pPr>
        <w:pStyle w:val="Heading2"/>
      </w:pPr>
      <w:r>
        <w:rPr>
          <w:rFonts w:ascii="Times New Roman" w:hAnsi="Times New Roman"/>
        </w:rPr>
        <w:t>2. Tatsachenklärung</w:t>
      </w:r>
    </w:p>
    <w:p>
      <w:pPr>
        <w:jc w:val="left"/>
      </w:pPr>
      <w:r>
        <w:t>Für die Monate Januar bis Juni 2026 werden Arbeitsblöcke nach Kalender, Kassenprotokoll und Rechnungsinhalt ausgewertet. Die Beteiligten legen Nachweise eigener Betriebsausgaben und Fremdkunden vor. Zugleich wird eingeräumt, dass Vertretung im Verkauf und Urlaubskoordination statusrechtlich kritisch sind.</w:t>
      </w:r>
    </w:p>
    <w:p>
      <w:pPr>
        <w:pStyle w:val="Heading2"/>
      </w:pPr>
      <w:r>
        <w:rPr>
          <w:rFonts w:ascii="Times New Roman" w:hAnsi="Times New Roman"/>
        </w:rPr>
        <w:t>3. Antrag</w:t>
      </w:r>
    </w:p>
    <w:p>
      <w:pPr>
        <w:jc w:val="left"/>
      </w:pPr>
      <w:r>
        <w:t>Es wird beantragt, vor einer abschließenden Entscheidung eine Erörterung nach Aktenlage anzubieten und die Tätigkeit nicht schematisch als Familienmithilfe oder freie Mitarbeit zu behandeln. Hilfsweise soll die Versicherungspflicht erst ab dem Zeitpunkt festgestellt werden, in dem die operative Filialsteuerung den Schwerpunkt bildete.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