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Klage- und Beitragsrisiko</w:t>
      </w:r>
    </w:p>
    <w:p>
      <w:pPr>
        <w:pStyle w:val="Heading2"/>
      </w:pPr>
      <w:r>
        <w:rPr>
          <w:rFonts w:ascii="Times New Roman" w:hAnsi="Times New Roman"/>
        </w:rPr>
        <w:t>1. Beitragsrisiko</w:t>
      </w:r>
    </w:p>
    <w:p>
      <w:pPr>
        <w:jc w:val="left"/>
      </w:pPr>
      <w:r>
        <w:t>Bei voller Beschäftigungseinstufung ab 01.01.2022 drohen Gesamtsozialversicherungsbeiträge aus der Pauschale, Säumniszuschläge und Folgefragen bei Umsatzsteuer. Bei teilweiser Beschäftigungseinstufung wird die zeitliche und sachliche Abgrenzung beweisintensiv.</w:t>
      </w:r>
    </w:p>
    <w:p>
      <w:pPr>
        <w:pStyle w:val="Heading2"/>
      </w:pPr>
      <w:r>
        <w:rPr>
          <w:rFonts w:ascii="Times New Roman" w:hAnsi="Times New Roman"/>
        </w:rPr>
        <w:t>2. Sozialgerichtliche Angriffspunkte</w:t>
      </w:r>
    </w:p>
    <w:p>
      <w:pPr>
        <w:pStyle w:val="ListNumber"/>
      </w:pPr>
      <w:r>
        <w:t>Unzureichende Tatsachenermittlung zu Fremdkunden und Betriebsausgaben.</w:t>
      </w:r>
    </w:p>
    <w:p>
      <w:pPr>
        <w:pStyle w:val="ListNumber"/>
      </w:pPr>
      <w:r>
        <w:t>Fehlende Trennung der Tätigkeitsbereiche.</w:t>
      </w:r>
    </w:p>
    <w:p>
      <w:pPr>
        <w:pStyle w:val="ListNumber"/>
      </w:pPr>
      <w:r>
        <w:t>Fehlende Gewichtung des Parteiwillens nur für den Grenzfall, wenn die Indizien ausgeglichen sind.</w:t>
      </w:r>
    </w:p>
    <w:p>
      <w:pPr>
        <w:pStyle w:val="ListNumber"/>
      </w:pPr>
      <w:r>
        <w:t>Unklare zeitliche Verdichtung erst ab 2024.</w:t>
      </w:r>
    </w:p>
    <w:p>
      <w:pPr>
        <w:pStyle w:val="Heading2"/>
      </w:pPr>
      <w:r>
        <w:rPr>
          <w:rFonts w:ascii="Times New Roman" w:hAnsi="Times New Roman"/>
        </w:rPr>
        <w:t>3. Vergleichsoption</w:t>
      </w:r>
    </w:p>
    <w:p>
      <w:pPr>
        <w:jc w:val="left"/>
      </w:pPr>
      <w:r>
        <w:t>Eine abgestufte Lösung mit Beschäftigung nur für operative Filialleitung ab 01.04.2024 könnte wirtschaftlich sinnvoll sein, wenn die Behörde dafür Säumniszuschläge reduziert und die Rentenanwartschaft der Tochter eindeutig zuordnet.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