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Clearingstellenverfahren</w:t>
      </w:r>
    </w:p>
    <w:p>
      <w:pPr>
        <w:pStyle w:val="Heading2"/>
      </w:pPr>
      <w:r>
        <w:rPr>
          <w:rFonts w:ascii="Times New Roman" w:hAnsi="Times New Roman"/>
        </w:rPr>
        <w:t>1. Beteiligte und wirtschaftlicher Hintergrund</w:t>
      </w:r>
    </w:p>
    <w:p>
      <w:pPr>
        <w:jc w:val="left"/>
      </w:pPr>
      <w:r>
        <w:t>Mandantin ist die Neuralis MedTech GmbH, Henkestraße 91, 91054 Erlangen. Geschäftsführer ist Dr. Henrik Vogt, Ingenieur und Mitgründer, Anteil 32 Prozent am Stammkapital. Weitere Gesellschafter: Venture-Fonds FrankenHealth 51 Prozent, Ärztin Dr. Miriam Seidl 17 Prozent. Dr. Vogt verantwortet Entwicklung, Zulassung und klinische Kooperationen.</w:t>
      </w:r>
    </w:p>
    <w:p>
      <w:pPr>
        <w:pStyle w:val="Heading2"/>
      </w:pPr>
      <w:r>
        <w:rPr>
          <w:rFonts w:ascii="Times New Roman" w:hAnsi="Times New Roman"/>
        </w:rPr>
        <w:t>2. Anlass</w:t>
      </w:r>
    </w:p>
    <w:p>
      <w:pPr>
        <w:jc w:val="left"/>
      </w:pPr>
      <w:r>
        <w:t>Nach einer Betriebsprüfung 2026 fragt die DRV Bund, ob Dr. Vogt seit 01.03.2023 abhängig beschäftigt ist. Die GmbH hatte ihn bisher als nicht versicherungspflichtigen Gesellschafter-Geschäftsführer behandelt. Die Prüferin verweist auf die Minderheitsbeteiligung, feste Monatsvergütung, Urlaubsregelung und Zustimmungsvorbehalte des Beirats.</w:t>
      </w:r>
    </w:p>
    <w:p>
      <w:pPr>
        <w:pStyle w:val="Heading2"/>
      </w:pPr>
      <w:r>
        <w:rPr>
          <w:rFonts w:ascii="Times New Roman" w:hAnsi="Times New Roman"/>
        </w:rPr>
        <w:t>3. Kritische Tatsachen</w:t>
      </w:r>
    </w:p>
    <w:p>
      <w:pPr>
        <w:jc w:val="left"/>
      </w:pPr>
      <w:r>
        <w:t>Dr. Vogt besitzt kein Mehrheitsstimmrecht. Die Satzung verlangt 75 Prozent für Änderungen des Gesellschaftsvertrags, Abberufung des Geschäftsführers aus wichtigem Grund, Budget über 250.000 EUR und Verkauf der Kernpatente. Für Alltagsweisungen enthält die Satzung keine Sperrminorität. Der Geschäftsführervertrag sieht 12.000 EUR monatlich, 30 Urlaubstage und Lohnfortzahlung vor. Dr. Vogt hat aber eine persönliche Bürgschaft über 400.000 EUR übernommen und ist einziger Inhaber des Entwicklungs-Know-hows.</w:t>
      </w:r>
    </w:p>
    <w:p>
      <w:pPr>
        <w:pStyle w:val="Heading2"/>
      </w:pPr>
      <w:r>
        <w:rPr>
          <w:rFonts w:ascii="Times New Roman" w:hAnsi="Times New Roman"/>
        </w:rPr>
        <w:t>4. Arbeitsauftrag</w:t>
      </w:r>
    </w:p>
    <w:p>
      <w:pPr>
        <w:jc w:val="left"/>
      </w:pPr>
      <w:r>
        <w:t>Zu prüfen sind Rechtsmacht aus Satzung, tatsächliche Geschäftsführungsmacht, Bedeutung der Bürgschaft, Familien- oder Gründerautorität, Abberufbarkeit, Weisungsrechte, C0032-Angaben und Beitragsfolgen. Die Stellungnahme muss aktuellere BSG-Linie zur Rechtsmacht ernst nehmen und darf faktische Unentbehrlichkeit nicht mit gesellschaftsrechtlicher Sperrminorität verwechseln.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