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Gesellschaftsvertrag, Auszug</w:t>
      </w:r>
    </w:p>
    <w:p>
      <w:pPr>
        <w:pStyle w:val="Heading2"/>
      </w:pPr>
      <w:r>
        <w:rPr>
          <w:rFonts w:ascii="Times New Roman" w:hAnsi="Times New Roman"/>
        </w:rPr>
        <w:t>1. Kapital und Stimmen</w:t>
      </w:r>
    </w:p>
    <w:p>
      <w:pPr>
        <w:jc w:val="left"/>
      </w:pPr>
      <w:r>
        <w:t>Stammkapital 100.000 EUR. FrankenHealth Ventures GmbH hält 51.000 EUR, Dr. Henrik Vogt hält 32.000 EUR, Dr. Miriam Seidl hält 17.000 EUR. Jeder Euro Geschäftsanteil gewährt eine Stimme. Beschlüsse werden grundsätzlich mit einfacher Mehrheit gefasst, soweit Vertrag oder Gesetz keine höhere Mehrheit verlangen.</w:t>
      </w:r>
    </w:p>
    <w:p>
      <w:pPr>
        <w:pStyle w:val="Heading2"/>
      </w:pPr>
      <w:r>
        <w:rPr>
          <w:rFonts w:ascii="Times New Roman" w:hAnsi="Times New Roman"/>
        </w:rPr>
        <w:t>2. Qualifizierte Mehrheiten</w:t>
      </w:r>
    </w:p>
    <w:p>
      <w:pPr>
        <w:jc w:val="left"/>
      </w:pPr>
      <w:r>
        <w:t>75 Prozent der Stimmen sind erforderlich für Satzungsänderungen, Kapitalmaßnahmen, Verkauf wesentlicher Patente, Jahresbudget über 250.000 EUR, Aufnahme von Darlehen über 150.000 EUR, Bestellung und Abberufung eines Geschäftsführers ohne wichtigen Grund sowie Abschluss eines Ergebnisabführungsvertrags.</w:t>
      </w:r>
    </w:p>
    <w:p>
      <w:pPr>
        <w:pStyle w:val="Heading2"/>
      </w:pPr>
      <w:r>
        <w:rPr>
          <w:rFonts w:ascii="Times New Roman" w:hAnsi="Times New Roman"/>
        </w:rPr>
        <w:t>3. Geschäftsführung</w:t>
      </w:r>
    </w:p>
    <w:p>
      <w:pPr>
        <w:jc w:val="left"/>
      </w:pPr>
      <w:r>
        <w:t>Die Gesellschaft hat einen oder mehrere Geschäftsführer. Die Gesellschafterversammlung kann Geschäftsführern eine Geschäftsordnung geben. Der Beirat genehmigt Investitionen über 50.000 EUR, Neueinstellungen ab Vergütungsgruppe Leitung und klinische Studienverträge über 100.000 EUR.</w:t>
      </w:r>
    </w:p>
    <w:p>
      <w:pPr>
        <w:pStyle w:val="Heading2"/>
      </w:pPr>
      <w:r>
        <w:rPr>
          <w:rFonts w:ascii="Times New Roman" w:hAnsi="Times New Roman"/>
        </w:rPr>
        <w:t>4. Streitpunkt</w:t>
      </w:r>
    </w:p>
    <w:p>
      <w:pPr>
        <w:jc w:val="left"/>
      </w:pPr>
      <w:r>
        <w:t>Dr. Vogt kann bestimmte Strukturentscheidungen blockieren, aber nicht allein laufende Weisungen im Entwicklungsbetrieb verhindern. Die Satzung enthält keine Klausel, nach der ihm bei Stimmengleichheit ein Stichentscheid oder ein umfassendes Vetorecht gegen Weisungen im Anstellungsverhältnis zusteht.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