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Geschäftsführervertrag Dr. Vogt, Auszug</w:t>
      </w:r>
    </w:p>
    <w:p>
      <w:pPr>
        <w:pStyle w:val="Heading2"/>
      </w:pPr>
      <w:r>
        <w:rPr>
          <w:rFonts w:ascii="Times New Roman" w:hAnsi="Times New Roman"/>
        </w:rPr>
        <w:t>1. Vergütung und Arbeitsleistung</w:t>
      </w:r>
    </w:p>
    <w:p>
      <w:pPr>
        <w:jc w:val="left"/>
      </w:pPr>
      <w:r>
        <w:t>Monatsvergütung 12.000 EUR brutto, zahlbar zum Monatsende. Variable Vergütung bis 40.000 EUR jährlich bei Meilensteinen Zulassung, Pilotkunden und Finanzierungsrunde. Dr. Vogt stellt seine volle Arbeitskraft zur Verfügung und unterrichtet den Beirat monatlich.</w:t>
      </w:r>
    </w:p>
    <w:p>
      <w:pPr>
        <w:pStyle w:val="Heading2"/>
      </w:pPr>
      <w:r>
        <w:rPr>
          <w:rFonts w:ascii="Times New Roman" w:hAnsi="Times New Roman"/>
        </w:rPr>
        <w:t>2. Urlaub und Krankheit</w:t>
      </w:r>
    </w:p>
    <w:p>
      <w:pPr>
        <w:jc w:val="left"/>
      </w:pPr>
      <w:r>
        <w:t>30 Arbeitstage Urlaub nach Abstimmung mit dem Beiratsvorsitzenden. Fortzahlung der Vergütung bei Krankheit für sechs Wochen. Nebentätigkeiten bedürfen Zustimmung der Gesellschafterversammlung.</w:t>
      </w:r>
    </w:p>
    <w:p>
      <w:pPr>
        <w:pStyle w:val="Heading2"/>
      </w:pPr>
      <w:r>
        <w:rPr>
          <w:rFonts w:ascii="Times New Roman" w:hAnsi="Times New Roman"/>
        </w:rPr>
        <w:t>3. Zustimmungsvorbehalte</w:t>
      </w:r>
    </w:p>
    <w:p>
      <w:pPr>
        <w:jc w:val="left"/>
      </w:pPr>
      <w:r>
        <w:t>Klinische Studien, Patentübertragungen, Verträge über 75.000 EUR und Einstellungen im Leitungskreis bedürfen vorheriger Zustimmung. Dr. Vogt darf Entwicklungsentscheidungen bis 50.000 EUR eigenständig treffen.</w:t>
      </w:r>
    </w:p>
    <w:p>
      <w:pPr>
        <w:pStyle w:val="Heading2"/>
      </w:pPr>
      <w:r>
        <w:rPr>
          <w:rFonts w:ascii="Times New Roman" w:hAnsi="Times New Roman"/>
        </w:rPr>
        <w:t>4. Statusrelevanz</w:t>
      </w:r>
    </w:p>
    <w:p>
      <w:pPr>
        <w:jc w:val="left"/>
      </w:pPr>
      <w:r>
        <w:t>Der Vertrag enthält klassische Elemente eines Dienstvertrags mit starker Einbindung in Beirat und Gesellschafterversammlung. Für die Stellungnahme ist entscheidend, ob die gesellschaftsrechtliche Rechtsmacht trotzdem reicht, um eine persönliche Abhängigkeit auszuschließen.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